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C6" w:rsidRPr="00CD558E" w:rsidRDefault="00CD558E" w:rsidP="00260554">
      <w:pPr>
        <w:pStyle w:val="Default"/>
        <w:jc w:val="center"/>
        <w:rPr>
          <w:b/>
          <w:sz w:val="28"/>
          <w:szCs w:val="28"/>
        </w:rPr>
      </w:pPr>
      <w:r w:rsidRPr="00CD558E">
        <w:rPr>
          <w:b/>
          <w:sz w:val="28"/>
          <w:szCs w:val="28"/>
        </w:rPr>
        <w:t xml:space="preserve">Insects associated with pecan trees, </w:t>
      </w:r>
      <w:proofErr w:type="spellStart"/>
      <w:r w:rsidRPr="00CD558E">
        <w:rPr>
          <w:b/>
          <w:i/>
          <w:sz w:val="28"/>
          <w:szCs w:val="28"/>
        </w:rPr>
        <w:t>Carya</w:t>
      </w:r>
      <w:proofErr w:type="spellEnd"/>
      <w:r w:rsidRPr="00CD558E">
        <w:rPr>
          <w:b/>
          <w:i/>
          <w:sz w:val="28"/>
          <w:szCs w:val="28"/>
        </w:rPr>
        <w:t xml:space="preserve"> </w:t>
      </w:r>
      <w:proofErr w:type="spellStart"/>
      <w:r w:rsidRPr="00CD558E">
        <w:rPr>
          <w:b/>
          <w:i/>
          <w:sz w:val="28"/>
          <w:szCs w:val="28"/>
        </w:rPr>
        <w:t>illinoinensis</w:t>
      </w:r>
      <w:proofErr w:type="spellEnd"/>
      <w:r w:rsidRPr="00CD558E">
        <w:rPr>
          <w:b/>
          <w:sz w:val="28"/>
          <w:szCs w:val="28"/>
        </w:rPr>
        <w:t>: characterisation, impact and control</w:t>
      </w:r>
    </w:p>
    <w:p w:rsidR="00CD558E" w:rsidRDefault="00CD558E" w:rsidP="00260554">
      <w:pPr>
        <w:jc w:val="center"/>
      </w:pPr>
    </w:p>
    <w:p w:rsidR="00CD558E" w:rsidRPr="008A2541" w:rsidRDefault="00CD558E" w:rsidP="00260554">
      <w:pPr>
        <w:jc w:val="center"/>
      </w:pPr>
      <w:r w:rsidRPr="008A2541">
        <w:t>Dr JL Ha</w:t>
      </w:r>
      <w:r w:rsidR="008A2541" w:rsidRPr="008A2541">
        <w:t>tting, ARC-Small Grains, P/Bag X</w:t>
      </w:r>
      <w:r w:rsidRPr="008A2541">
        <w:t>29, Bethlehem, 9700</w:t>
      </w:r>
    </w:p>
    <w:p w:rsidR="00CD558E" w:rsidRDefault="00CD558E" w:rsidP="00260554">
      <w:pPr>
        <w:jc w:val="both"/>
        <w:rPr>
          <w:b/>
        </w:rPr>
      </w:pPr>
    </w:p>
    <w:p w:rsidR="00CD558E" w:rsidRPr="00CD558E" w:rsidRDefault="00CD558E" w:rsidP="00260554">
      <w:pPr>
        <w:jc w:val="both"/>
        <w:rPr>
          <w:b/>
        </w:rPr>
      </w:pPr>
      <w:r w:rsidRPr="00CD558E">
        <w:rPr>
          <w:b/>
        </w:rPr>
        <w:t>Project overview</w:t>
      </w:r>
      <w:r w:rsidR="00956E6F">
        <w:rPr>
          <w:b/>
        </w:rPr>
        <w:t xml:space="preserve"> (December 2013 to June 2017)</w:t>
      </w:r>
    </w:p>
    <w:p w:rsidR="0021068B" w:rsidRDefault="0021068B" w:rsidP="00260554">
      <w:pPr>
        <w:jc w:val="both"/>
      </w:pPr>
      <w:proofErr w:type="gramStart"/>
      <w:r>
        <w:t xml:space="preserve">Three research areas were </w:t>
      </w:r>
      <w:r w:rsidR="006E1C49">
        <w:t xml:space="preserve">addressed during </w:t>
      </w:r>
      <w:r>
        <w:t xml:space="preserve">this project: </w:t>
      </w:r>
      <w:r w:rsidR="00736CC9">
        <w:t>(</w:t>
      </w:r>
      <w:r>
        <w:t>1) bi-monthly surveys, at three sites, to determine the complex of pestiferous and beneficial insects associated with pecan pro</w:t>
      </w:r>
      <w:r w:rsidR="00E15AD6">
        <w:t xml:space="preserve">duction in the </w:t>
      </w:r>
      <w:proofErr w:type="spellStart"/>
      <w:r w:rsidR="00E15AD6">
        <w:t>Vaalharts</w:t>
      </w:r>
      <w:proofErr w:type="spellEnd"/>
      <w:r w:rsidR="00E15AD6">
        <w:t xml:space="preserve"> region,</w:t>
      </w:r>
      <w:r>
        <w:t xml:space="preserve"> </w:t>
      </w:r>
      <w:r w:rsidR="00736CC9">
        <w:t>(</w:t>
      </w:r>
      <w:r w:rsidR="00E15AD6">
        <w:t>2) field trials</w:t>
      </w:r>
      <w:r>
        <w:t xml:space="preserve"> to quantify the damage caused by the bark stinkbug, </w:t>
      </w:r>
      <w:proofErr w:type="spellStart"/>
      <w:r>
        <w:rPr>
          <w:i/>
          <w:iCs/>
        </w:rPr>
        <w:t>Coenomorpha</w:t>
      </w:r>
      <w:proofErr w:type="spellEnd"/>
      <w:r>
        <w:rPr>
          <w:i/>
          <w:iCs/>
        </w:rPr>
        <w:t xml:space="preserve"> nervosa</w:t>
      </w:r>
      <w:r>
        <w:t xml:space="preserve"> and (3) field trials to investigate the impact of different insecticide application frequencies on nut set and development at three sites.</w:t>
      </w:r>
      <w:proofErr w:type="gramEnd"/>
      <w:r>
        <w:t xml:space="preserve"> </w:t>
      </w:r>
      <w:r w:rsidR="006E1C49">
        <w:t xml:space="preserve">Following, a brief overview of each </w:t>
      </w:r>
      <w:r w:rsidR="00E15AD6">
        <w:t xml:space="preserve">research </w:t>
      </w:r>
      <w:r w:rsidR="006E1C49">
        <w:t>area.</w:t>
      </w:r>
    </w:p>
    <w:p w:rsidR="0021068B" w:rsidRPr="0021068B" w:rsidRDefault="0021068B" w:rsidP="00260554">
      <w:pPr>
        <w:pStyle w:val="ListParagraph"/>
        <w:numPr>
          <w:ilvl w:val="0"/>
          <w:numId w:val="2"/>
        </w:numPr>
        <w:jc w:val="both"/>
        <w:rPr>
          <w:b/>
        </w:rPr>
      </w:pPr>
      <w:r w:rsidRPr="0021068B">
        <w:rPr>
          <w:b/>
        </w:rPr>
        <w:t>Surveys to characterise insect complex</w:t>
      </w:r>
    </w:p>
    <w:p w:rsidR="0060544B" w:rsidRDefault="00F951FA" w:rsidP="00260554">
      <w:pPr>
        <w:jc w:val="both"/>
      </w:pPr>
      <w:r>
        <w:t>During the past four</w:t>
      </w:r>
      <w:r w:rsidR="00E96ABB" w:rsidRPr="00E96ABB">
        <w:t xml:space="preserve"> years, </w:t>
      </w:r>
      <w:r w:rsidR="00B85A0A">
        <w:t xml:space="preserve">bi-monthly </w:t>
      </w:r>
      <w:r w:rsidR="00E96ABB" w:rsidRPr="00E96ABB">
        <w:t xml:space="preserve">surveys </w:t>
      </w:r>
      <w:proofErr w:type="gramStart"/>
      <w:r w:rsidR="00E96ABB" w:rsidRPr="00E96ABB">
        <w:t>were conducted</w:t>
      </w:r>
      <w:proofErr w:type="gramEnd"/>
      <w:r w:rsidR="00E96ABB" w:rsidRPr="00E96ABB">
        <w:t xml:space="preserve"> at three si</w:t>
      </w:r>
      <w:r w:rsidR="0021068B">
        <w:t xml:space="preserve">tes (Bull Hill, </w:t>
      </w:r>
      <w:proofErr w:type="spellStart"/>
      <w:r w:rsidR="0021068B">
        <w:t>Tadcaster</w:t>
      </w:r>
      <w:proofErr w:type="spellEnd"/>
      <w:r w:rsidR="0021068B">
        <w:t xml:space="preserve"> and </w:t>
      </w:r>
      <w:proofErr w:type="spellStart"/>
      <w:r w:rsidR="0021068B">
        <w:t>Ma</w:t>
      </w:r>
      <w:r w:rsidR="00E96ABB" w:rsidRPr="00E96ABB">
        <w:t>gogong</w:t>
      </w:r>
      <w:proofErr w:type="spellEnd"/>
      <w:r w:rsidR="00E96ABB" w:rsidRPr="00E96ABB">
        <w:t xml:space="preserve">) in the Hartswater area to characterise the species complex of pestiferous and beneficial insects associated with pecan trees. In total, </w:t>
      </w:r>
      <w:r w:rsidR="0021068B" w:rsidRPr="0021068B">
        <w:t>21 surveys</w:t>
      </w:r>
      <w:r w:rsidR="0021068B">
        <w:t xml:space="preserve"> were </w:t>
      </w:r>
      <w:r w:rsidR="0021068B" w:rsidRPr="0021068B">
        <w:t>conducted with 47 444 insects collected</w:t>
      </w:r>
      <w:r w:rsidR="00956003">
        <w:t xml:space="preserve"> (Fig. 1)</w:t>
      </w:r>
      <w:r w:rsidR="0021068B">
        <w:t xml:space="preserve">. </w:t>
      </w:r>
      <w:r w:rsidR="00041C54">
        <w:t xml:space="preserve">By pooling all data (sites and years) and characterising the insects </w:t>
      </w:r>
      <w:r w:rsidR="001B3910">
        <w:t xml:space="preserve">as </w:t>
      </w:r>
      <w:r w:rsidR="00041C54">
        <w:t xml:space="preserve">non-pestiferous </w:t>
      </w:r>
      <w:r w:rsidR="002E0341">
        <w:t xml:space="preserve">(beneficial and ‘neutral’ species combined) </w:t>
      </w:r>
      <w:r w:rsidR="00041C54">
        <w:t xml:space="preserve">versus pestiferous, the pestiferous insects </w:t>
      </w:r>
      <w:r w:rsidR="001B3910">
        <w:t xml:space="preserve">were </w:t>
      </w:r>
      <w:r w:rsidR="00041C54">
        <w:t>out</w:t>
      </w:r>
      <w:r w:rsidR="001B3910">
        <w:t>-</w:t>
      </w:r>
      <w:r w:rsidR="00041C54">
        <w:t xml:space="preserve">numbered by the non-pestiferous insects </w:t>
      </w:r>
      <w:r w:rsidR="002D1515">
        <w:t>at</w:t>
      </w:r>
      <w:r w:rsidR="00041C54">
        <w:t xml:space="preserve"> a ratio of 1.6:1 (62% v 38%</w:t>
      </w:r>
      <w:r w:rsidR="001B3910">
        <w:t>; Fig. 2</w:t>
      </w:r>
      <w:r w:rsidR="00041C54">
        <w:t>)</w:t>
      </w:r>
      <w:r w:rsidR="001B3910">
        <w:t xml:space="preserve">. </w:t>
      </w:r>
      <w:r w:rsidR="00F85576">
        <w:t xml:space="preserve">The </w:t>
      </w:r>
      <w:r w:rsidR="00B85A0A">
        <w:t xml:space="preserve">monthly </w:t>
      </w:r>
      <w:r w:rsidR="00F85576">
        <w:t xml:space="preserve">prevalence/distribution of the different insect types </w:t>
      </w:r>
      <w:proofErr w:type="gramStart"/>
      <w:r w:rsidR="00F85576">
        <w:t>is presented</w:t>
      </w:r>
      <w:proofErr w:type="gramEnd"/>
      <w:r w:rsidR="00F85576">
        <w:t xml:space="preserve"> in Fig. 3.  </w:t>
      </w:r>
    </w:p>
    <w:p w:rsidR="002732B5" w:rsidRDefault="00E96ABB" w:rsidP="00260554">
      <w:pPr>
        <w:jc w:val="both"/>
      </w:pPr>
      <w:r w:rsidRPr="00E96ABB">
        <w:t>The most prevalent pests represent five families, comprising of stinkbugs (</w:t>
      </w:r>
      <w:proofErr w:type="spellStart"/>
      <w:r w:rsidRPr="00E96ABB">
        <w:t>Pentatomidae</w:t>
      </w:r>
      <w:proofErr w:type="spellEnd"/>
      <w:r w:rsidRPr="00E96ABB">
        <w:t>), snout weevils (</w:t>
      </w:r>
      <w:proofErr w:type="spellStart"/>
      <w:r w:rsidRPr="00E96ABB">
        <w:t>Curculionidae</w:t>
      </w:r>
      <w:proofErr w:type="spellEnd"/>
      <w:r w:rsidRPr="00E96ABB">
        <w:t>), yellow pecan aphid (</w:t>
      </w:r>
      <w:proofErr w:type="spellStart"/>
      <w:r w:rsidRPr="00E96ABB">
        <w:t>Aphididae</w:t>
      </w:r>
      <w:proofErr w:type="spellEnd"/>
      <w:r w:rsidRPr="00E96ABB">
        <w:t>), citrus leafhopper (</w:t>
      </w:r>
      <w:proofErr w:type="spellStart"/>
      <w:r w:rsidRPr="00E96ABB">
        <w:t>Cicade</w:t>
      </w:r>
      <w:r w:rsidR="00F24B41">
        <w:t>l</w:t>
      </w:r>
      <w:r w:rsidRPr="00E96ABB">
        <w:t>lidae</w:t>
      </w:r>
      <w:proofErr w:type="spellEnd"/>
      <w:r w:rsidRPr="00E96ABB">
        <w:t>) and plant bugs (</w:t>
      </w:r>
      <w:proofErr w:type="spellStart"/>
      <w:r w:rsidRPr="00E96ABB">
        <w:t>Miridae</w:t>
      </w:r>
      <w:proofErr w:type="spellEnd"/>
      <w:r w:rsidRPr="00E96ABB">
        <w:t xml:space="preserve">). A strong natural enemy complex </w:t>
      </w:r>
      <w:proofErr w:type="gramStart"/>
      <w:r w:rsidRPr="00E96ABB">
        <w:t>was also revealed</w:t>
      </w:r>
      <w:proofErr w:type="gramEnd"/>
      <w:r w:rsidRPr="00E96ABB">
        <w:t xml:space="preserve"> durin</w:t>
      </w:r>
      <w:r w:rsidR="00866D33">
        <w:t>g these surveys, including lady</w:t>
      </w:r>
      <w:r w:rsidRPr="00E96ABB">
        <w:t xml:space="preserve">bird beetles, lacewings, praying </w:t>
      </w:r>
      <w:proofErr w:type="spellStart"/>
      <w:r w:rsidRPr="00E96ABB">
        <w:t>mantids</w:t>
      </w:r>
      <w:proofErr w:type="spellEnd"/>
      <w:r w:rsidRPr="00E96ABB">
        <w:t xml:space="preserve"> and antlions. </w:t>
      </w:r>
      <w:r w:rsidR="007B485E">
        <w:t>In addition, t</w:t>
      </w:r>
      <w:r w:rsidRPr="00E96ABB">
        <w:t xml:space="preserve">he </w:t>
      </w:r>
      <w:proofErr w:type="spellStart"/>
      <w:r w:rsidRPr="00E96ABB">
        <w:t>entomopathogenic</w:t>
      </w:r>
      <w:proofErr w:type="spellEnd"/>
      <w:r w:rsidRPr="00E96ABB">
        <w:t xml:space="preserve"> fungus, </w:t>
      </w:r>
      <w:proofErr w:type="spellStart"/>
      <w:r w:rsidRPr="009B6A87">
        <w:rPr>
          <w:i/>
        </w:rPr>
        <w:t>Beauveria</w:t>
      </w:r>
      <w:proofErr w:type="spellEnd"/>
      <w:r w:rsidRPr="009B6A87">
        <w:rPr>
          <w:i/>
        </w:rPr>
        <w:t xml:space="preserve"> </w:t>
      </w:r>
      <w:proofErr w:type="spellStart"/>
      <w:r w:rsidRPr="009B6A87">
        <w:rPr>
          <w:i/>
        </w:rPr>
        <w:t>bassiana</w:t>
      </w:r>
      <w:proofErr w:type="spellEnd"/>
      <w:r w:rsidR="0021068B" w:rsidRPr="009B6A87">
        <w:rPr>
          <w:i/>
        </w:rPr>
        <w:t xml:space="preserve"> </w:t>
      </w:r>
      <w:r w:rsidR="0021068B">
        <w:t>(</w:t>
      </w:r>
      <w:proofErr w:type="spellStart"/>
      <w:r w:rsidR="0021068B">
        <w:t>Hypocreales</w:t>
      </w:r>
      <w:proofErr w:type="spellEnd"/>
      <w:r w:rsidR="0021068B">
        <w:t xml:space="preserve">: </w:t>
      </w:r>
      <w:proofErr w:type="spellStart"/>
      <w:r w:rsidR="0021068B">
        <w:t>Cordycipitaceae</w:t>
      </w:r>
      <w:proofErr w:type="spellEnd"/>
      <w:r w:rsidR="0021068B">
        <w:t>)</w:t>
      </w:r>
      <w:r w:rsidRPr="00E96ABB">
        <w:t>, was isolated from several insect cadavers col</w:t>
      </w:r>
      <w:r w:rsidR="0021068B">
        <w:t>lected and processed during the</w:t>
      </w:r>
      <w:r w:rsidRPr="00E96ABB">
        <w:t xml:space="preserve"> project. </w:t>
      </w:r>
    </w:p>
    <w:p w:rsidR="009B6A87" w:rsidRDefault="00776775" w:rsidP="00260554">
      <w:pPr>
        <w:jc w:val="both"/>
        <w:rPr>
          <w:noProof/>
          <w:lang w:eastAsia="en-ZA"/>
        </w:rPr>
      </w:pPr>
      <w:r w:rsidRPr="00776775">
        <w:rPr>
          <w:noProof/>
          <w:lang w:eastAsia="en-ZA"/>
        </w:rPr>
        <w:drawing>
          <wp:inline distT="0" distB="0" distL="0" distR="0" wp14:anchorId="541AB95B" wp14:editId="37F1C04E">
            <wp:extent cx="5731510" cy="2782956"/>
            <wp:effectExtent l="0" t="0" r="25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6003" w:rsidRPr="00956003" w:rsidRDefault="000048E7" w:rsidP="0026055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Fig. 1. </w:t>
      </w:r>
      <w:r w:rsidR="00956003" w:rsidRPr="00956003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Percentage (Y-axis) pest</w:t>
      </w:r>
      <w:r w:rsidR="00DE17D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(red bars)</w:t>
      </w:r>
      <w:r w:rsidR="00956003" w:rsidRPr="00956003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, beneficial</w:t>
      </w:r>
      <w:r w:rsidR="00DE17D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(green bars)</w:t>
      </w:r>
      <w:r w:rsidR="00956003" w:rsidRPr="00956003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and ‘neutral’ </w:t>
      </w:r>
      <w:r w:rsidR="00DB11A6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(blue bars) insect types</w:t>
      </w:r>
      <w:r w:rsidR="00DE17D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956003" w:rsidRPr="00956003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recorded during the project (</w:t>
      </w:r>
      <w:r w:rsidR="00FA03F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pooled average from </w:t>
      </w:r>
      <w:r w:rsidR="00956003" w:rsidRPr="00956003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Dec 2013 – Jun 2017) </w:t>
      </w:r>
    </w:p>
    <w:p w:rsidR="009B6A87" w:rsidRDefault="004B6C8B" w:rsidP="00260554">
      <w:pPr>
        <w:jc w:val="both"/>
      </w:pPr>
      <w:r w:rsidRPr="000048E7">
        <w:rPr>
          <w:noProof/>
          <w:lang w:eastAsia="en-Z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652007</wp:posOffset>
            </wp:positionH>
            <wp:positionV relativeFrom="paragraph">
              <wp:posOffset>-87464</wp:posOffset>
            </wp:positionV>
            <wp:extent cx="4134678" cy="1924215"/>
            <wp:effectExtent l="0" t="0" r="18415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A87" w:rsidRDefault="009B6A87" w:rsidP="00260554">
      <w:pPr>
        <w:jc w:val="both"/>
      </w:pPr>
    </w:p>
    <w:p w:rsidR="000048E7" w:rsidRDefault="000048E7" w:rsidP="00260554">
      <w:pPr>
        <w:jc w:val="both"/>
      </w:pPr>
    </w:p>
    <w:p w:rsidR="000048E7" w:rsidRDefault="000048E7" w:rsidP="00260554">
      <w:pPr>
        <w:jc w:val="both"/>
      </w:pPr>
    </w:p>
    <w:p w:rsidR="000048E7" w:rsidRDefault="000048E7" w:rsidP="00260554">
      <w:pPr>
        <w:jc w:val="both"/>
      </w:pPr>
    </w:p>
    <w:p w:rsidR="000048E7" w:rsidRDefault="000048E7" w:rsidP="00260554">
      <w:pPr>
        <w:jc w:val="both"/>
      </w:pP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802A0" w:rsidRDefault="005802A0" w:rsidP="002605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048E7" w:rsidRDefault="000048E7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  <w:r w:rsidRPr="000048E7">
        <w:rPr>
          <w:rFonts w:asciiTheme="minorHAnsi" w:hAnsiTheme="minorHAnsi" w:cstheme="minorHAnsi"/>
          <w:sz w:val="22"/>
          <w:szCs w:val="22"/>
        </w:rPr>
        <w:t xml:space="preserve">Fig. 2. </w:t>
      </w:r>
      <w:r w:rsidRPr="000048E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Percentage non-pestiferous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(</w:t>
      </w:r>
      <w:r w:rsidR="00D5061B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green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) </w:t>
      </w:r>
      <w:r w:rsidRPr="000048E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versus pestiferous 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(red) </w:t>
      </w:r>
      <w:r w:rsidRPr="000048E7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insect types recorded </w:t>
      </w:r>
      <w:r w:rsidR="001F61BB" w:rsidRPr="001F61BB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during the project (pooled average from Dec 2013 – Jun 2017) </w:t>
      </w: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</w:p>
    <w:p w:rsidR="004B6C8B" w:rsidRDefault="00D60BDD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  <w:r w:rsidRPr="00D60BDD">
        <w:rPr>
          <w:rFonts w:asciiTheme="minorHAnsi" w:eastAsiaTheme="minorEastAsia" w:hAnsiTheme="minorHAnsi" w:cstheme="minorHAns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C6E732" wp14:editId="32A051B1">
                <wp:simplePos x="0" y="0"/>
                <wp:positionH relativeFrom="column">
                  <wp:posOffset>5244769</wp:posOffset>
                </wp:positionH>
                <wp:positionV relativeFrom="paragraph">
                  <wp:posOffset>1321435</wp:posOffset>
                </wp:positionV>
                <wp:extent cx="810895" cy="269875"/>
                <wp:effectExtent l="0" t="0" r="825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BDD" w:rsidRPr="00D60BDD" w:rsidRDefault="006263D3" w:rsidP="00D60B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Beneficial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6E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104.05pt;width:63.85pt;height:2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" stroked="f">
                <v:textbox>
                  <w:txbxContent>
                    <w:p w:rsidR="00D60BDD" w:rsidRPr="00D60BDD" w:rsidRDefault="006263D3" w:rsidP="00D60BD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Beneficial</w:t>
                      </w:r>
                    </w:p>
                  </w:txbxContent>
                </v:textbox>
              </v:shape>
            </w:pict>
          </mc:Fallback>
        </mc:AlternateContent>
      </w:r>
      <w:r w:rsidRPr="00D60BDD">
        <w:rPr>
          <w:rFonts w:asciiTheme="minorHAnsi" w:eastAsiaTheme="minorEastAsia" w:hAnsiTheme="minorHAnsi" w:cstheme="minorHAns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C6E732" wp14:editId="32A051B1">
                <wp:simplePos x="0" y="0"/>
                <wp:positionH relativeFrom="column">
                  <wp:posOffset>5233035</wp:posOffset>
                </wp:positionH>
                <wp:positionV relativeFrom="paragraph">
                  <wp:posOffset>1902791</wp:posOffset>
                </wp:positionV>
                <wp:extent cx="811033" cy="269875"/>
                <wp:effectExtent l="0" t="0" r="825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033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BDD" w:rsidRPr="00D60BDD" w:rsidRDefault="006263D3" w:rsidP="00D60B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Neutral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E732" id="_x0000_s1027" type="#_x0000_t202" style="position:absolute;left:0;text-align:left;margin-left:412.05pt;margin-top:149.85pt;width:63.85pt;height:2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" stroked="f">
                <v:textbox>
                  <w:txbxContent>
                    <w:p w:rsidR="00D60BDD" w:rsidRPr="00D60BDD" w:rsidRDefault="006263D3" w:rsidP="00D60BD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Neutral</w:t>
                      </w:r>
                    </w:p>
                  </w:txbxContent>
                </v:textbox>
              </v:shape>
            </w:pict>
          </mc:Fallback>
        </mc:AlternateContent>
      </w:r>
      <w:r w:rsidRPr="00D60BDD">
        <w:rPr>
          <w:rFonts w:asciiTheme="minorHAnsi" w:eastAsiaTheme="minorEastAsia" w:hAnsiTheme="minorHAnsi" w:cstheme="minorHAns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733425</wp:posOffset>
                </wp:positionV>
                <wp:extent cx="811033" cy="269875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033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BDD" w:rsidRPr="00D60BDD" w:rsidRDefault="00D60B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0BDD">
                              <w:rPr>
                                <w:sz w:val="20"/>
                                <w:szCs w:val="20"/>
                              </w:rPr>
                              <w:t>Pestiferous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0.7pt;margin-top:57.75pt;width:63.85pt;height:2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" stroked="f">
                <v:textbox>
                  <w:txbxContent>
                    <w:p w:rsidR="00D60BDD" w:rsidRPr="00D60BDD" w:rsidRDefault="00D60BDD">
                      <w:pPr>
                        <w:rPr>
                          <w:sz w:val="20"/>
                          <w:szCs w:val="20"/>
                        </w:rPr>
                      </w:pPr>
                      <w:r w:rsidRPr="00D60BDD">
                        <w:rPr>
                          <w:sz w:val="20"/>
                          <w:szCs w:val="20"/>
                        </w:rPr>
                        <w:t>Pestiferous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845185</wp:posOffset>
                </wp:positionV>
                <wp:extent cx="285750" cy="55245"/>
                <wp:effectExtent l="0" t="0" r="0" b="19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52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43D25" id="Rectangle 8" o:spid="_x0000_s1026" style="position:absolute;margin-left:383.75pt;margin-top:66.55pt;width:22.5pt;height: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" fillcolor="red" stroked="f" strokeweight="1pt"/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CD724" wp14:editId="52863414">
                <wp:simplePos x="0" y="0"/>
                <wp:positionH relativeFrom="column">
                  <wp:posOffset>4890881</wp:posOffset>
                </wp:positionH>
                <wp:positionV relativeFrom="paragraph">
                  <wp:posOffset>1442472</wp:posOffset>
                </wp:positionV>
                <wp:extent cx="286247" cy="55659"/>
                <wp:effectExtent l="0" t="0" r="0" b="19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5565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BA32" id="Rectangle 11" o:spid="_x0000_s1026" style="position:absolute;margin-left:385.1pt;margin-top:113.6pt;width:22.55pt;height: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" fillcolor="#375623 [1609]" stroked="f" strokeweight="1pt"/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CD724" wp14:editId="52863414">
                <wp:simplePos x="0" y="0"/>
                <wp:positionH relativeFrom="column">
                  <wp:posOffset>4906451</wp:posOffset>
                </wp:positionH>
                <wp:positionV relativeFrom="paragraph">
                  <wp:posOffset>2022972</wp:posOffset>
                </wp:positionV>
                <wp:extent cx="286247" cy="55659"/>
                <wp:effectExtent l="0" t="0" r="0" b="19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5565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D92EB" id="Rectangle 12" o:spid="_x0000_s1026" style="position:absolute;margin-left:386.35pt;margin-top:159.3pt;width:22.55pt;height: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" fillcolor="#0070c0" stroked="f" strokeweight="1pt"/>
            </w:pict>
          </mc:Fallback>
        </mc:AlternateContent>
      </w:r>
      <w:r w:rsidR="004B6C8B" w:rsidRPr="004B6C8B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drawing>
          <wp:inline distT="0" distB="0" distL="0" distR="0" wp14:anchorId="34C2D991" wp14:editId="4FADCCB1">
            <wp:extent cx="6058894" cy="2480310"/>
            <wp:effectExtent l="0" t="0" r="18415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Fig. 3. </w:t>
      </w:r>
      <w:r w:rsidR="0083241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Average number </w:t>
      </w:r>
      <w:r w:rsidR="00641FB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(Y-axis) </w:t>
      </w:r>
      <w:r w:rsidR="0083241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of </w:t>
      </w:r>
      <w:r w:rsid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pestiferous, beneficial and neutral insect types </w:t>
      </w:r>
      <w:r w:rsidR="0083241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per tree </w:t>
      </w:r>
      <w:r w:rsid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in the Hartswater region (</w:t>
      </w:r>
      <w:r w:rsidR="00832419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pooled data for</w:t>
      </w:r>
      <w:r w:rsid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0B218C" w:rsidRP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Bull Hill, </w:t>
      </w:r>
      <w:proofErr w:type="spellStart"/>
      <w:r w:rsidR="000B218C" w:rsidRP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Tadcaster</w:t>
      </w:r>
      <w:proofErr w:type="spellEnd"/>
      <w:r w:rsidR="000B218C" w:rsidRP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and </w:t>
      </w:r>
      <w:proofErr w:type="spellStart"/>
      <w:r w:rsidR="000B218C" w:rsidRP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Magogong</w:t>
      </w:r>
      <w:proofErr w:type="spellEnd"/>
      <w:r w:rsid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0B218C" w:rsidRP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from Dec 2013 – Jun 2017</w:t>
      </w:r>
      <w:r w:rsidR="000B218C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). Extrapolated data for months of Ju</w:t>
      </w:r>
      <w:r w:rsidR="00D543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ly, Sept</w:t>
      </w:r>
      <w:r w:rsidR="0075699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ember</w:t>
      </w:r>
      <w:r w:rsidR="00D543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, Nov</w:t>
      </w:r>
      <w:r w:rsidR="0075699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ember</w:t>
      </w:r>
      <w:r w:rsidR="00D543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, Jan</w:t>
      </w:r>
      <w:r w:rsidR="0075699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uary</w:t>
      </w:r>
      <w:r w:rsidR="00D543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, M</w:t>
      </w:r>
      <w:r w:rsidR="0075699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a</w:t>
      </w:r>
      <w:r w:rsidR="00D543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r</w:t>
      </w:r>
      <w:r w:rsidR="0075699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c</w:t>
      </w:r>
      <w:r w:rsidR="001E7D5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h</w:t>
      </w:r>
      <w:r w:rsidR="00D543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and May</w:t>
      </w: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</w:p>
    <w:p w:rsidR="004B6C8B" w:rsidRDefault="004B6C8B" w:rsidP="00260554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</w:pPr>
    </w:p>
    <w:p w:rsidR="009B6A87" w:rsidRPr="00F314AA" w:rsidRDefault="00500E7B" w:rsidP="00260554">
      <w:pPr>
        <w:pStyle w:val="ListParagraph"/>
        <w:numPr>
          <w:ilvl w:val="0"/>
          <w:numId w:val="2"/>
        </w:numPr>
        <w:jc w:val="both"/>
        <w:rPr>
          <w:b/>
        </w:rPr>
      </w:pPr>
      <w:r w:rsidRPr="00F314AA">
        <w:rPr>
          <w:b/>
        </w:rPr>
        <w:t>Field trials to quantify damage by bark stinkbug</w:t>
      </w:r>
      <w:r w:rsidR="003B6370">
        <w:rPr>
          <w:b/>
        </w:rPr>
        <w:t xml:space="preserve"> (Fig. </w:t>
      </w:r>
      <w:r w:rsidR="00A42608">
        <w:rPr>
          <w:b/>
        </w:rPr>
        <w:t>4</w:t>
      </w:r>
      <w:r w:rsidR="003B6370">
        <w:rPr>
          <w:b/>
        </w:rPr>
        <w:t>)</w:t>
      </w:r>
    </w:p>
    <w:p w:rsidR="007C3AE5" w:rsidRDefault="00500E7B" w:rsidP="00260554">
      <w:pPr>
        <w:jc w:val="both"/>
      </w:pPr>
      <w:r>
        <w:t>Field trials were conducted during 2014, 2015 and 2016, during which nut clusters were caged during Februa</w:t>
      </w:r>
      <w:r w:rsidR="00613906">
        <w:t xml:space="preserve">ry, followed by the release of </w:t>
      </w:r>
      <w:proofErr w:type="gramStart"/>
      <w:r w:rsidR="00613906">
        <w:t>1</w:t>
      </w:r>
      <w:proofErr w:type="gramEnd"/>
      <w:r>
        <w:t xml:space="preserve"> or 3 mid-instar to adult </w:t>
      </w:r>
      <w:r w:rsidR="003B43EC" w:rsidRPr="003B43EC">
        <w:rPr>
          <w:i/>
        </w:rPr>
        <w:t>C. nervosa</w:t>
      </w:r>
      <w:r>
        <w:t xml:space="preserve"> per cage.</w:t>
      </w:r>
      <w:r w:rsidR="00F314AA">
        <w:t xml:space="preserve"> Control cages received no bugs. </w:t>
      </w:r>
      <w:r w:rsidR="00EA2119">
        <w:t>All nuts were collected during June and t</w:t>
      </w:r>
      <w:r w:rsidR="00F314AA">
        <w:t xml:space="preserve">wo parameters measured, </w:t>
      </w:r>
      <w:r w:rsidR="00F314AA" w:rsidRPr="00F314AA">
        <w:rPr>
          <w:i/>
        </w:rPr>
        <w:t>i.e</w:t>
      </w:r>
      <w:r w:rsidR="00F314AA">
        <w:t xml:space="preserve">., </w:t>
      </w:r>
      <w:r w:rsidR="008A2541">
        <w:t>(1)</w:t>
      </w:r>
      <w:r w:rsidR="00F314AA">
        <w:t xml:space="preserve"> </w:t>
      </w:r>
      <w:r w:rsidR="00EA2119">
        <w:t xml:space="preserve">percentage </w:t>
      </w:r>
      <w:r w:rsidR="00F314AA">
        <w:t xml:space="preserve">spoiled nuts </w:t>
      </w:r>
      <w:r w:rsidR="00B91221">
        <w:t>(</w:t>
      </w:r>
      <w:r w:rsidR="00B91221" w:rsidRPr="00B91221">
        <w:rPr>
          <w:i/>
        </w:rPr>
        <w:t>C. nervosa</w:t>
      </w:r>
      <w:r w:rsidR="00B91221">
        <w:t xml:space="preserve"> known as </w:t>
      </w:r>
      <w:r w:rsidR="00847D3D">
        <w:t xml:space="preserve">a </w:t>
      </w:r>
      <w:r w:rsidR="00B91221">
        <w:t xml:space="preserve">fungal vector) </w:t>
      </w:r>
      <w:r w:rsidR="00F314AA">
        <w:t xml:space="preserve">and </w:t>
      </w:r>
      <w:r w:rsidR="008A2541">
        <w:t>(2)</w:t>
      </w:r>
      <w:r w:rsidR="00F314AA">
        <w:t xml:space="preserve"> nut weight. </w:t>
      </w:r>
    </w:p>
    <w:p w:rsidR="007E25E0" w:rsidRDefault="00F314AA" w:rsidP="00260554">
      <w:pPr>
        <w:jc w:val="both"/>
        <w:rPr>
          <w:i/>
        </w:rPr>
      </w:pPr>
      <w:r>
        <w:t>For the first measurement, control nuts (</w:t>
      </w:r>
      <w:r w:rsidR="00043FC9">
        <w:t xml:space="preserve">pooled data, </w:t>
      </w:r>
      <w:r>
        <w:t>totalling 277</w:t>
      </w:r>
      <w:r w:rsidR="00043FC9">
        <w:t xml:space="preserve"> nuts</w:t>
      </w:r>
      <w:r>
        <w:t>) suffered 8% spoilage, while nuts exposed to 1 bug (</w:t>
      </w:r>
      <w:r w:rsidR="00043FC9">
        <w:t xml:space="preserve">pooled data, </w:t>
      </w:r>
      <w:r>
        <w:t>totalling 102 nuts) suffered 9% spoilage and nuts exposed to 3 bugs (</w:t>
      </w:r>
      <w:r w:rsidR="00043FC9">
        <w:t xml:space="preserve">pooled data, </w:t>
      </w:r>
      <w:r>
        <w:t xml:space="preserve">totalling 230 nuts), suffered 16% spoilage. </w:t>
      </w:r>
      <w:r w:rsidR="00400AEC">
        <w:t xml:space="preserve">Given the 8% natural spoilage measured in controls, this percentage </w:t>
      </w:r>
      <w:proofErr w:type="gramStart"/>
      <w:r w:rsidR="00400AEC">
        <w:t>was used</w:t>
      </w:r>
      <w:proofErr w:type="gramEnd"/>
      <w:r w:rsidR="00400AEC">
        <w:t xml:space="preserve"> in a calculation to correct of control spoilage, yielding actual figures of 1.1% and 8.7%</w:t>
      </w:r>
      <w:r w:rsidR="00043FC9">
        <w:t>,</w:t>
      </w:r>
      <w:r w:rsidR="00400AEC">
        <w:t xml:space="preserve"> for the 1 and 3 bug exposures, respectively.</w:t>
      </w:r>
      <w:r w:rsidR="00AE672B">
        <w:t xml:space="preserve"> </w:t>
      </w:r>
      <w:r w:rsidR="00400AEC">
        <w:t xml:space="preserve"> </w:t>
      </w:r>
      <w:r w:rsidR="00AE672B">
        <w:t xml:space="preserve">Working on an average of 2 800 nuts per 8/9-year old tree, with an average of </w:t>
      </w:r>
      <w:proofErr w:type="gramStart"/>
      <w:r w:rsidR="00AE672B">
        <w:t>5</w:t>
      </w:r>
      <w:proofErr w:type="gramEnd"/>
      <w:r w:rsidR="00AE672B">
        <w:t xml:space="preserve"> nuts per cluster, each tree could contain 560 clusters. The area-wide surveys indicated an average of 9.7 stinkbugs per survey per tree, of which around 80% </w:t>
      </w:r>
      <w:r w:rsidR="00AE672B">
        <w:lastRenderedPageBreak/>
        <w:t xml:space="preserve">comprised </w:t>
      </w:r>
      <w:r w:rsidR="00AE672B" w:rsidRPr="00AE672B">
        <w:rPr>
          <w:i/>
        </w:rPr>
        <w:t>C. nervosa</w:t>
      </w:r>
      <w:r w:rsidR="00AE672B">
        <w:t xml:space="preserve">. This implies </w:t>
      </w:r>
      <w:r w:rsidR="00DB04E2">
        <w:t xml:space="preserve">about </w:t>
      </w:r>
      <w:r w:rsidR="00AE672B">
        <w:t xml:space="preserve">7 </w:t>
      </w:r>
      <w:r w:rsidR="00DB04E2" w:rsidRPr="00DB04E2">
        <w:rPr>
          <w:i/>
        </w:rPr>
        <w:t>C. nervosa</w:t>
      </w:r>
      <w:r w:rsidR="00AE672B">
        <w:t xml:space="preserve"> per tree, </w:t>
      </w:r>
      <w:r w:rsidR="00DB04E2">
        <w:t xml:space="preserve">or 80 </w:t>
      </w:r>
      <w:r w:rsidR="00F31494">
        <w:t xml:space="preserve">nut </w:t>
      </w:r>
      <w:r w:rsidR="00DB04E2">
        <w:t xml:space="preserve">clusters per stinkbug. </w:t>
      </w:r>
      <w:r w:rsidR="00F50337">
        <w:t>Such</w:t>
      </w:r>
      <w:r w:rsidR="00DB04E2">
        <w:t xml:space="preserve"> figures suggest </w:t>
      </w:r>
      <w:r w:rsidR="00F50337">
        <w:t xml:space="preserve">an unlikely scenario of significant damage </w:t>
      </w:r>
      <w:proofErr w:type="gramStart"/>
      <w:r w:rsidR="00F50337">
        <w:t>being inflicted</w:t>
      </w:r>
      <w:proofErr w:type="gramEnd"/>
      <w:r w:rsidR="00F50337">
        <w:t xml:space="preserve"> by </w:t>
      </w:r>
      <w:r w:rsidR="00F50337" w:rsidRPr="00F50337">
        <w:rPr>
          <w:i/>
        </w:rPr>
        <w:t>C. nervosa</w:t>
      </w:r>
      <w:r w:rsidR="00F50337">
        <w:rPr>
          <w:i/>
        </w:rPr>
        <w:t>.</w:t>
      </w:r>
    </w:p>
    <w:p w:rsidR="003B6370" w:rsidRDefault="003B6370" w:rsidP="00260554">
      <w:pPr>
        <w:jc w:val="both"/>
        <w:rPr>
          <w:i/>
        </w:rPr>
      </w:pPr>
      <w:r>
        <w:rPr>
          <w:i/>
          <w:noProof/>
          <w:lang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1405586</wp:posOffset>
            </wp:positionH>
            <wp:positionV relativeFrom="paragraph">
              <wp:posOffset>22860</wp:posOffset>
            </wp:positionV>
            <wp:extent cx="2445728" cy="22740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28" cy="2274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370" w:rsidRDefault="003B6370" w:rsidP="00260554">
      <w:pPr>
        <w:jc w:val="both"/>
        <w:rPr>
          <w:i/>
        </w:rPr>
      </w:pPr>
    </w:p>
    <w:p w:rsidR="003B6370" w:rsidRDefault="003B6370" w:rsidP="00260554">
      <w:pPr>
        <w:jc w:val="both"/>
        <w:rPr>
          <w:i/>
        </w:rPr>
      </w:pPr>
    </w:p>
    <w:p w:rsidR="003B6370" w:rsidRDefault="003B6370" w:rsidP="00260554">
      <w:pPr>
        <w:jc w:val="both"/>
        <w:rPr>
          <w:i/>
        </w:rPr>
      </w:pPr>
    </w:p>
    <w:p w:rsidR="003B6370" w:rsidRDefault="003B6370" w:rsidP="00260554">
      <w:pPr>
        <w:jc w:val="both"/>
        <w:rPr>
          <w:i/>
        </w:rPr>
      </w:pPr>
    </w:p>
    <w:p w:rsidR="003B6370" w:rsidRDefault="003B6370" w:rsidP="00260554">
      <w:pPr>
        <w:jc w:val="both"/>
        <w:rPr>
          <w:i/>
        </w:rPr>
      </w:pPr>
    </w:p>
    <w:p w:rsidR="003B6370" w:rsidRDefault="003B6370" w:rsidP="00260554">
      <w:pPr>
        <w:jc w:val="both"/>
        <w:rPr>
          <w:i/>
        </w:rPr>
      </w:pPr>
    </w:p>
    <w:p w:rsidR="003B6370" w:rsidRDefault="003B6370" w:rsidP="00260554">
      <w:pPr>
        <w:jc w:val="both"/>
      </w:pPr>
      <w:r>
        <w:t xml:space="preserve">                                                                </w:t>
      </w:r>
    </w:p>
    <w:p w:rsidR="003B6370" w:rsidRPr="003B6370" w:rsidRDefault="004572F4" w:rsidP="004572F4">
      <w:r>
        <w:t xml:space="preserve">                 </w:t>
      </w:r>
      <w:r w:rsidR="003B6370">
        <w:t xml:space="preserve">                                           </w:t>
      </w:r>
      <w:r w:rsidR="003B6370" w:rsidRPr="003B6370">
        <w:t xml:space="preserve">Fig. </w:t>
      </w:r>
      <w:r w:rsidR="00A42608">
        <w:t>4</w:t>
      </w:r>
      <w:r w:rsidR="003B6370" w:rsidRPr="003B6370">
        <w:t>. Adult bark stinkbugs</w:t>
      </w:r>
    </w:p>
    <w:p w:rsidR="007C1A92" w:rsidRDefault="007C3AE5" w:rsidP="00260554">
      <w:pPr>
        <w:jc w:val="both"/>
      </w:pPr>
      <w:r>
        <w:t xml:space="preserve">For the second measurement, </w:t>
      </w:r>
      <w:r w:rsidR="00E7152F">
        <w:t xml:space="preserve">the average </w:t>
      </w:r>
      <w:r w:rsidR="00F31494">
        <w:t>in-</w:t>
      </w:r>
      <w:r w:rsidR="00E7152F">
        <w:t xml:space="preserve">shell nut weight for control cages </w:t>
      </w:r>
      <w:r w:rsidR="00F31494">
        <w:t>(</w:t>
      </w:r>
      <w:r w:rsidR="00F31494" w:rsidRPr="00F31494">
        <w:t>pooled data, totalling 181 nuts)</w:t>
      </w:r>
      <w:r w:rsidR="00F31494">
        <w:t xml:space="preserve"> </w:t>
      </w:r>
      <w:r w:rsidR="00E7152F">
        <w:t xml:space="preserve">was 6.28g per nut, compared with 6.67g (pooled data, totalling 170 nuts) and 6.45g (pooled data, totalling 166 nuts) </w:t>
      </w:r>
      <w:r w:rsidR="003F7223">
        <w:t xml:space="preserve">per nut for the 1 bug and 3 bug cages, respectively. </w:t>
      </w:r>
      <w:r w:rsidR="00A55E24">
        <w:t xml:space="preserve">The average meat weight for the above treatments was 2.31g, 2.64g and 2.41g per nut, respectively. </w:t>
      </w:r>
      <w:r w:rsidR="00B40EB8">
        <w:t>Althoug</w:t>
      </w:r>
      <w:r w:rsidR="00613906">
        <w:t>h none of these comparisons (in-</w:t>
      </w:r>
      <w:r w:rsidR="00B40EB8">
        <w:t>shell and meat weight) showed statistical differences among the treatments and control, the</w:t>
      </w:r>
      <w:r w:rsidR="007C1A92">
        <w:t>re</w:t>
      </w:r>
      <w:r w:rsidR="00B40EB8">
        <w:t xml:space="preserve"> was a slight increase in weight where bugs were involved. Seemingly, insect feeding may be acting as trigger for the plant to </w:t>
      </w:r>
      <w:r w:rsidR="007C1A92">
        <w:t>over</w:t>
      </w:r>
      <w:r w:rsidR="00B40EB8">
        <w:t>compensate</w:t>
      </w:r>
      <w:r w:rsidR="00F31494">
        <w:t xml:space="preserve"> </w:t>
      </w:r>
      <w:proofErr w:type="gramStart"/>
      <w:r w:rsidR="00F31494">
        <w:t>in response to insect herbivory</w:t>
      </w:r>
      <w:r w:rsidR="00B40EB8">
        <w:t xml:space="preserve">, </w:t>
      </w:r>
      <w:r w:rsidR="00F31494">
        <w:t>re</w:t>
      </w:r>
      <w:r w:rsidR="00B40EB8">
        <w:t>directing more energy into seed (nut) development</w:t>
      </w:r>
      <w:r w:rsidR="001E22CC">
        <w:t xml:space="preserve"> as survival strategy</w:t>
      </w:r>
      <w:proofErr w:type="gramEnd"/>
      <w:r w:rsidR="001E22CC">
        <w:t>.</w:t>
      </w:r>
      <w:r w:rsidR="007C1A92">
        <w:t xml:space="preserve"> The phenomenon is </w:t>
      </w:r>
      <w:proofErr w:type="gramStart"/>
      <w:r w:rsidR="007C1A92">
        <w:t>not uncommon</w:t>
      </w:r>
      <w:proofErr w:type="gramEnd"/>
      <w:r w:rsidR="007C1A92">
        <w:t xml:space="preserve"> among plants</w:t>
      </w:r>
      <w:r w:rsidR="00B20F19">
        <w:t xml:space="preserve">, as </w:t>
      </w:r>
      <w:r w:rsidR="001B2A29">
        <w:t>recently reviewed</w:t>
      </w:r>
      <w:r w:rsidR="00B20F19">
        <w:t xml:space="preserve"> </w:t>
      </w:r>
      <w:r w:rsidR="002139FF">
        <w:t>at the genetic level</w:t>
      </w:r>
      <w:r w:rsidR="00B20F19">
        <w:t xml:space="preserve"> by</w:t>
      </w:r>
      <w:r w:rsidR="003B6370">
        <w:t xml:space="preserve"> a group of US researchers (see </w:t>
      </w:r>
      <w:hyperlink r:id="rId10" w:history="1">
        <w:r w:rsidR="003B6370" w:rsidRPr="00C874CD">
          <w:rPr>
            <w:rStyle w:val="Hyperlink"/>
          </w:rPr>
          <w:t>http://article.sapub.org/pdf/10.5923.s.ijmb.201310.05.pdf</w:t>
        </w:r>
      </w:hyperlink>
      <w:r w:rsidR="003B6370">
        <w:t>)</w:t>
      </w:r>
      <w:r w:rsidR="007C1A92">
        <w:t>.</w:t>
      </w:r>
      <w:r w:rsidR="003B6370">
        <w:t xml:space="preserve"> </w:t>
      </w:r>
      <w:r w:rsidR="007C1A92">
        <w:t xml:space="preserve">As observed with the cage data, these trials point to </w:t>
      </w:r>
      <w:r w:rsidR="007C1A92" w:rsidRPr="0034298C">
        <w:rPr>
          <w:i/>
        </w:rPr>
        <w:t>C. nervosa</w:t>
      </w:r>
      <w:r w:rsidR="007C1A92">
        <w:t xml:space="preserve"> as being </w:t>
      </w:r>
      <w:r w:rsidR="0034298C">
        <w:t xml:space="preserve">an </w:t>
      </w:r>
      <w:r w:rsidR="007C1A92">
        <w:t>insignificant</w:t>
      </w:r>
      <w:r w:rsidR="0034298C">
        <w:t xml:space="preserve"> pest of pecan, certainly not warranting area</w:t>
      </w:r>
      <w:r w:rsidR="003B6370">
        <w:t>-wide insecticide applications!</w:t>
      </w:r>
      <w:r w:rsidR="007C1A92">
        <w:t xml:space="preserve">  </w:t>
      </w:r>
    </w:p>
    <w:p w:rsidR="007C3AE5" w:rsidRDefault="007C3AE5" w:rsidP="00260554">
      <w:pPr>
        <w:jc w:val="both"/>
      </w:pPr>
    </w:p>
    <w:p w:rsidR="00F50337" w:rsidRPr="00B644C9" w:rsidRDefault="005614CC" w:rsidP="00260554">
      <w:pPr>
        <w:pStyle w:val="ListParagraph"/>
        <w:numPr>
          <w:ilvl w:val="0"/>
          <w:numId w:val="2"/>
        </w:numPr>
        <w:jc w:val="both"/>
        <w:rPr>
          <w:b/>
        </w:rPr>
      </w:pPr>
      <w:r w:rsidRPr="00B644C9">
        <w:rPr>
          <w:b/>
        </w:rPr>
        <w:t>Field trials with different insecticide frequencies on nut set and development</w:t>
      </w:r>
    </w:p>
    <w:p w:rsidR="00172620" w:rsidRDefault="00A1453F" w:rsidP="00260554">
      <w:pPr>
        <w:jc w:val="both"/>
      </w:pPr>
      <w:r>
        <w:t xml:space="preserve">During the 2016 field trials (3 sites), </w:t>
      </w:r>
      <w:r w:rsidR="00C94BC6">
        <w:t xml:space="preserve">treatments comprised: a single application (once-off) of </w:t>
      </w:r>
      <w:r w:rsidR="00B26168">
        <w:t>Tempo</w:t>
      </w:r>
      <w:r w:rsidR="00B26168">
        <w:rPr>
          <w:rFonts w:cstheme="minorHAnsi"/>
        </w:rPr>
        <w:t>®</w:t>
      </w:r>
      <w:r w:rsidR="00B26168">
        <w:t xml:space="preserve"> (</w:t>
      </w:r>
      <w:proofErr w:type="spellStart"/>
      <w:r w:rsidR="00B26168" w:rsidRPr="00A37C74">
        <w:rPr>
          <w:i/>
        </w:rPr>
        <w:t>c</w:t>
      </w:r>
      <w:r w:rsidR="00C94BC6" w:rsidRPr="00A37C74">
        <w:rPr>
          <w:i/>
        </w:rPr>
        <w:t>yfluthrin</w:t>
      </w:r>
      <w:proofErr w:type="spellEnd"/>
      <w:r w:rsidR="00B26168">
        <w:t xml:space="preserve">; </w:t>
      </w:r>
      <w:r w:rsidR="00C94BC6">
        <w:t>broad spectrum contact insecticide) in the months Octobe</w:t>
      </w:r>
      <w:r w:rsidR="00591C06">
        <w:t>r, December, February and April;</w:t>
      </w:r>
      <w:r w:rsidR="00C94BC6">
        <w:t xml:space="preserve"> a water-only sequential applicat</w:t>
      </w:r>
      <w:r w:rsidR="00591C06">
        <w:t>ion during Oct/Dec/Feb/Apr (4x);</w:t>
      </w:r>
      <w:r w:rsidR="00C94BC6">
        <w:t xml:space="preserve"> as well as sequential insecticide applications during Oct/Dec/Feb/Apr (4x), Dec/Feb/Apr (3x) and Feb/Apr (2x). A control, not receiving any insecticide/water, was also included. </w:t>
      </w:r>
      <w:r w:rsidR="001D45EE">
        <w:t xml:space="preserve">The same trials (2 sites) </w:t>
      </w:r>
      <w:proofErr w:type="gramStart"/>
      <w:r w:rsidR="001D45EE">
        <w:t>were performed</w:t>
      </w:r>
      <w:proofErr w:type="gramEnd"/>
      <w:r w:rsidR="001D45EE">
        <w:t xml:space="preserve"> in 2015, but excluding the individual (once-off) month-specific applications and water-only treatment. </w:t>
      </w:r>
      <w:r w:rsidR="004D29DD">
        <w:t xml:space="preserve">All trials were performed on the cultivar </w:t>
      </w:r>
      <w:r w:rsidR="004D29DD" w:rsidRPr="004D29DD">
        <w:t>Wichita</w:t>
      </w:r>
      <w:r w:rsidR="00220DAA">
        <w:t xml:space="preserve">, with </w:t>
      </w:r>
      <w:proofErr w:type="gramStart"/>
      <w:r w:rsidR="00220DAA">
        <w:t>4</w:t>
      </w:r>
      <w:proofErr w:type="gramEnd"/>
      <w:r w:rsidR="00220DAA">
        <w:t xml:space="preserve"> replicates (trees) per treatment</w:t>
      </w:r>
      <w:bookmarkStart w:id="0" w:name="_GoBack"/>
      <w:bookmarkEnd w:id="0"/>
      <w:r w:rsidR="004D29DD">
        <w:t xml:space="preserve">. </w:t>
      </w:r>
      <w:r w:rsidR="001D45EE">
        <w:t>For all data (2015 and 2016</w:t>
      </w:r>
      <w:r w:rsidR="00172620">
        <w:t xml:space="preserve"> pooled</w:t>
      </w:r>
      <w:r w:rsidR="00B1096A">
        <w:t xml:space="preserve">; total of </w:t>
      </w:r>
      <w:r w:rsidR="00B1096A" w:rsidRPr="00B1096A">
        <w:t>40</w:t>
      </w:r>
      <w:r w:rsidR="00B1096A">
        <w:t> </w:t>
      </w:r>
      <w:r w:rsidR="00B1096A" w:rsidRPr="00B1096A">
        <w:t>896</w:t>
      </w:r>
      <w:r w:rsidR="00B1096A">
        <w:t xml:space="preserve"> data points</w:t>
      </w:r>
      <w:r w:rsidR="001D45EE">
        <w:t>) t</w:t>
      </w:r>
      <w:r w:rsidR="00C94BC6">
        <w:t>he weight of each nut was used to determine a Rand value thereof (price classification provi</w:t>
      </w:r>
      <w:r w:rsidR="00EE6A7C">
        <w:t>ded by SAPPA). Compared to the c</w:t>
      </w:r>
      <w:r w:rsidR="00C94BC6">
        <w:t xml:space="preserve">ontrol, the best performing treatment at each of the three sites </w:t>
      </w:r>
      <w:proofErr w:type="gramStart"/>
      <w:r w:rsidR="00C94BC6">
        <w:t>was:</w:t>
      </w:r>
      <w:proofErr w:type="gramEnd"/>
      <w:r w:rsidR="00C94BC6">
        <w:t xml:space="preserve"> Bull Hill – 4x water (+ 18.58%</w:t>
      </w:r>
      <w:r w:rsidR="00730197">
        <w:t xml:space="preserve"> price increase</w:t>
      </w:r>
      <w:r w:rsidR="00C94BC6">
        <w:t xml:space="preserve">); </w:t>
      </w:r>
      <w:proofErr w:type="spellStart"/>
      <w:r w:rsidR="00C94BC6">
        <w:t>Tadcaster</w:t>
      </w:r>
      <w:proofErr w:type="spellEnd"/>
      <w:r w:rsidR="00C94BC6">
        <w:t xml:space="preserve"> – 4x insecticide (+ 0.57%); </w:t>
      </w:r>
      <w:r w:rsidR="00591C06">
        <w:t xml:space="preserve">and </w:t>
      </w:r>
      <w:proofErr w:type="spellStart"/>
      <w:r w:rsidR="0097223A">
        <w:t>Ma</w:t>
      </w:r>
      <w:r w:rsidR="00C94BC6">
        <w:t>gogong</w:t>
      </w:r>
      <w:proofErr w:type="spellEnd"/>
      <w:r w:rsidR="00C94BC6">
        <w:t xml:space="preserve"> – 1x insecticide application during February (+ 0.92%). </w:t>
      </w:r>
      <w:r w:rsidR="00172620">
        <w:t xml:space="preserve">The pooled data (sites and years) </w:t>
      </w:r>
      <w:proofErr w:type="gramStart"/>
      <w:r w:rsidR="00172620">
        <w:t xml:space="preserve">are </w:t>
      </w:r>
      <w:r w:rsidR="00066103">
        <w:t>presented</w:t>
      </w:r>
      <w:proofErr w:type="gramEnd"/>
      <w:r w:rsidR="00066103">
        <w:t xml:space="preserve"> </w:t>
      </w:r>
      <w:r w:rsidR="00172620">
        <w:t xml:space="preserve">in Fig. </w:t>
      </w:r>
      <w:r w:rsidR="00855A1D">
        <w:t>5</w:t>
      </w:r>
      <w:r w:rsidR="00172620">
        <w:t>.</w:t>
      </w:r>
      <w:r w:rsidR="00066103">
        <w:t xml:space="preserve"> Notably,</w:t>
      </w:r>
      <w:r w:rsidR="00DF0CD5">
        <w:t xml:space="preserve"> the 4x insecticide treatment (red bar) yielded almost the same nut value compared to the Oct-, Dec- and Feb-only applications (only 0.39% difference)</w:t>
      </w:r>
      <w:r w:rsidR="009B40B8">
        <w:t>, yet were all outperformed</w:t>
      </w:r>
      <w:r w:rsidR="008A49F9">
        <w:t xml:space="preserve"> (although not statistically significant)</w:t>
      </w:r>
      <w:r w:rsidR="009B40B8">
        <w:t xml:space="preserve"> by the 4x water treatment (dark blue bar). </w:t>
      </w:r>
      <w:r w:rsidR="00DF0CD5">
        <w:t xml:space="preserve"> </w:t>
      </w:r>
    </w:p>
    <w:p w:rsidR="00220DAA" w:rsidRDefault="00220DAA" w:rsidP="00260554">
      <w:pPr>
        <w:jc w:val="both"/>
      </w:pPr>
    </w:p>
    <w:p w:rsidR="00172620" w:rsidRDefault="00234DA4" w:rsidP="00260554">
      <w:pPr>
        <w:jc w:val="both"/>
      </w:pP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B660EE" wp14:editId="0AB17D7B">
                <wp:simplePos x="0" y="0"/>
                <wp:positionH relativeFrom="column">
                  <wp:posOffset>1797381</wp:posOffset>
                </wp:positionH>
                <wp:positionV relativeFrom="paragraph">
                  <wp:posOffset>443865</wp:posOffset>
                </wp:positionV>
                <wp:extent cx="262255" cy="206375"/>
                <wp:effectExtent l="0" t="0" r="4445" b="31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DA4" w:rsidRDefault="00234DA4" w:rsidP="00234DA4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0EE" id="_x0000_s1029" type="#_x0000_t202" style="position:absolute;left:0;text-align:left;margin-left:141.55pt;margin-top:34.95pt;width:20.65pt;height:1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yzIgIAACI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" stroked="f">
                <v:textbox>
                  <w:txbxContent>
                    <w:p w:rsidR="00234DA4" w:rsidRDefault="00234DA4" w:rsidP="00234DA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0F7145" wp14:editId="46792CAC">
                <wp:simplePos x="0" y="0"/>
                <wp:positionH relativeFrom="column">
                  <wp:posOffset>2934335</wp:posOffset>
                </wp:positionH>
                <wp:positionV relativeFrom="paragraph">
                  <wp:posOffset>548971</wp:posOffset>
                </wp:positionV>
                <wp:extent cx="262255" cy="206375"/>
                <wp:effectExtent l="0" t="0" r="4445" b="31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DA4" w:rsidRDefault="00234DA4" w:rsidP="00234DA4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7145" id="_x0000_s1030" type="#_x0000_t202" style="position:absolute;left:0;text-align:left;margin-left:231.05pt;margin-top:43.25pt;width:20.65pt;height:1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" stroked="f">
                <v:textbox>
                  <w:txbxContent>
                    <w:p w:rsidR="00234DA4" w:rsidRDefault="00234DA4" w:rsidP="00234DA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0F7145" wp14:editId="46792CAC">
                <wp:simplePos x="0" y="0"/>
                <wp:positionH relativeFrom="column">
                  <wp:posOffset>2370565</wp:posOffset>
                </wp:positionH>
                <wp:positionV relativeFrom="paragraph">
                  <wp:posOffset>525945</wp:posOffset>
                </wp:positionV>
                <wp:extent cx="262255" cy="206375"/>
                <wp:effectExtent l="0" t="0" r="4445" b="31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DA4" w:rsidRDefault="00234DA4" w:rsidP="00234DA4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7145" id="_x0000_s1031" type="#_x0000_t202" style="position:absolute;left:0;text-align:left;margin-left:186.65pt;margin-top:41.4pt;width:20.65pt;height:1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jXcIgIAACI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" stroked="f">
                <v:textbox>
                  <w:txbxContent>
                    <w:p w:rsidR="00234DA4" w:rsidRDefault="00234DA4" w:rsidP="00234DA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1223507</wp:posOffset>
                </wp:positionH>
                <wp:positionV relativeFrom="paragraph">
                  <wp:posOffset>420840</wp:posOffset>
                </wp:positionV>
                <wp:extent cx="262255" cy="206375"/>
                <wp:effectExtent l="0" t="0" r="444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DA4" w:rsidRDefault="00234DA4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6.35pt;margin-top:33.15pt;width:20.65pt;height:1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" stroked="f">
                <v:textbox>
                  <w:txbxContent>
                    <w:p w:rsidR="00234DA4" w:rsidRDefault="00234DA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B660EE" wp14:editId="0AB17D7B">
                <wp:simplePos x="0" y="0"/>
                <wp:positionH relativeFrom="column">
                  <wp:posOffset>660759</wp:posOffset>
                </wp:positionH>
                <wp:positionV relativeFrom="paragraph">
                  <wp:posOffset>8365</wp:posOffset>
                </wp:positionV>
                <wp:extent cx="262255" cy="206375"/>
                <wp:effectExtent l="0" t="0" r="4445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DA4" w:rsidRDefault="00234DA4" w:rsidP="00234DA4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0EE" id="_x0000_s1033" type="#_x0000_t202" style="position:absolute;left:0;text-align:left;margin-left:52.05pt;margin-top:.65pt;width:20.65pt;height:1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zAIgIAACI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" stroked="f">
                <v:textbox>
                  <w:txbxContent>
                    <w:p w:rsidR="00234DA4" w:rsidRDefault="00234DA4" w:rsidP="00234DA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72620" w:rsidRPr="003E47DA">
        <w:rPr>
          <w:noProof/>
          <w:lang w:eastAsia="en-ZA"/>
        </w:rPr>
        <w:drawing>
          <wp:inline distT="0" distB="0" distL="0" distR="0" wp14:anchorId="69EAEEF3" wp14:editId="74DDD2B1">
            <wp:extent cx="5764696" cy="2997200"/>
            <wp:effectExtent l="0" t="0" r="762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47DA" w:rsidRDefault="00172620" w:rsidP="00172620">
      <w:r>
        <w:t xml:space="preserve">Fig. </w:t>
      </w:r>
      <w:r w:rsidR="00855A1D">
        <w:t>5</w:t>
      </w:r>
      <w:r>
        <w:t xml:space="preserve">. </w:t>
      </w:r>
      <w:r w:rsidRPr="00172620">
        <w:t>Pooled price-data over two years at all sites combined</w:t>
      </w:r>
      <w:r>
        <w:t xml:space="preserve"> </w:t>
      </w:r>
      <w:r w:rsidRPr="00172620">
        <w:t>(1-year data for individual month and water-only applications</w:t>
      </w:r>
      <w:r>
        <w:t xml:space="preserve"> over </w:t>
      </w:r>
      <w:proofErr w:type="gramStart"/>
      <w:r>
        <w:t>3</w:t>
      </w:r>
      <w:proofErr w:type="gramEnd"/>
      <w:r>
        <w:t xml:space="preserve"> sites</w:t>
      </w:r>
      <w:r w:rsidRPr="00172620">
        <w:t>)</w:t>
      </w:r>
      <w:r>
        <w:t>. Percentage deviation (Y-axis) from untreated control</w:t>
      </w:r>
      <w:r w:rsidR="00E05321">
        <w:t xml:space="preserve">; treatments indicated by * differ significantly from </w:t>
      </w:r>
      <w:r w:rsidR="00CC4A93">
        <w:t xml:space="preserve">the </w:t>
      </w:r>
      <w:r w:rsidR="00E05321">
        <w:t>untreated control</w:t>
      </w:r>
    </w:p>
    <w:p w:rsidR="00172620" w:rsidRPr="00172620" w:rsidRDefault="00066103" w:rsidP="00DD3CBE">
      <w:pPr>
        <w:jc w:val="both"/>
      </w:pPr>
      <w:r>
        <w:t xml:space="preserve">In order to better understand the superior performance of the </w:t>
      </w:r>
      <w:proofErr w:type="gramStart"/>
      <w:r>
        <w:t>4x</w:t>
      </w:r>
      <w:proofErr w:type="gramEnd"/>
      <w:r>
        <w:t xml:space="preserve"> water over the 4x insecticide treatment, these two treatments need to be compared in more detail. T</w:t>
      </w:r>
      <w:r w:rsidR="00172620" w:rsidRPr="00172620">
        <w:t>he financial benefit/loss derived from these two treatments</w:t>
      </w:r>
      <w:r w:rsidR="00072BB9">
        <w:t>,</w:t>
      </w:r>
      <w:r w:rsidR="00172620" w:rsidRPr="00172620">
        <w:t xml:space="preserve"> </w:t>
      </w:r>
      <w:r w:rsidR="00072BB9">
        <w:t xml:space="preserve">when compared to the untreated control, </w:t>
      </w:r>
      <w:r w:rsidR="00172620" w:rsidRPr="00172620">
        <w:t xml:space="preserve">was: Bull Hill – 4x water = R10.70 more per kg, 4x insecticide = R2.80 more per kg; </w:t>
      </w:r>
      <w:proofErr w:type="spellStart"/>
      <w:r w:rsidR="00172620" w:rsidRPr="00172620">
        <w:t>Tadcaster</w:t>
      </w:r>
      <w:proofErr w:type="spellEnd"/>
      <w:r w:rsidR="00172620" w:rsidRPr="00172620">
        <w:t xml:space="preserve"> – 4x water = R3.77 less per kg, 4x insecticide = R0.42 more per kg; </w:t>
      </w:r>
      <w:r w:rsidR="00575F8F">
        <w:t xml:space="preserve">and </w:t>
      </w:r>
      <w:proofErr w:type="spellStart"/>
      <w:r w:rsidR="00172620" w:rsidRPr="00172620">
        <w:t>Magogong</w:t>
      </w:r>
      <w:proofErr w:type="spellEnd"/>
      <w:r w:rsidR="00172620" w:rsidRPr="00172620">
        <w:t xml:space="preserve"> – 4x water = R0.18 less per kg, 4x insecticide = R0.33 less per kg. The pooled data (sites and years) showed the </w:t>
      </w:r>
      <w:proofErr w:type="gramStart"/>
      <w:r w:rsidR="00172620" w:rsidRPr="00172620">
        <w:t>4x</w:t>
      </w:r>
      <w:proofErr w:type="gramEnd"/>
      <w:r w:rsidR="00172620" w:rsidRPr="00172620">
        <w:t xml:space="preserve"> water application to be the most profitable with an increase of R3.80 per kg versus a R3.00 per kg increase with 4x insecticide over the untreated controls. It is obvious from </w:t>
      </w:r>
      <w:proofErr w:type="gramStart"/>
      <w:r w:rsidR="00172620" w:rsidRPr="00172620">
        <w:t>these</w:t>
      </w:r>
      <w:proofErr w:type="gramEnd"/>
      <w:r w:rsidR="00172620" w:rsidRPr="00172620">
        <w:t xml:space="preserve"> comparisons that the </w:t>
      </w:r>
      <w:r w:rsidR="00172620" w:rsidRPr="00DD3CBE">
        <w:rPr>
          <w:u w:val="single"/>
        </w:rPr>
        <w:t xml:space="preserve">water component in the tank mixture </w:t>
      </w:r>
      <w:r w:rsidR="00411FBE" w:rsidRPr="00DD3CBE">
        <w:rPr>
          <w:u w:val="single"/>
        </w:rPr>
        <w:t>appears</w:t>
      </w:r>
      <w:r w:rsidR="00172620" w:rsidRPr="00DD3CBE">
        <w:rPr>
          <w:u w:val="single"/>
        </w:rPr>
        <w:t xml:space="preserve"> to be the beneficiating factor and not the insecticide</w:t>
      </w:r>
      <w:r w:rsidR="00172620" w:rsidRPr="00172620">
        <w:t xml:space="preserve">. Notably, the only site where the insecticide resulted in an increased nut </w:t>
      </w:r>
      <w:proofErr w:type="gramStart"/>
      <w:r w:rsidR="00172620" w:rsidRPr="00172620">
        <w:t>value,</w:t>
      </w:r>
      <w:proofErr w:type="gramEnd"/>
      <w:r w:rsidR="00172620" w:rsidRPr="00172620">
        <w:t xml:space="preserve"> was at </w:t>
      </w:r>
      <w:proofErr w:type="spellStart"/>
      <w:r w:rsidR="00172620" w:rsidRPr="00172620">
        <w:t>Tadcaster</w:t>
      </w:r>
      <w:proofErr w:type="spellEnd"/>
      <w:r w:rsidR="00172620" w:rsidRPr="00172620">
        <w:t>, but this was only 42c/kg higher compared to the untreated controls – not an economically feasible exercise</w:t>
      </w:r>
      <w:r w:rsidR="00807E87">
        <w:t xml:space="preserve"> when taking into account input costs such as the insecticide, diesel</w:t>
      </w:r>
      <w:r w:rsidR="00033E44">
        <w:t xml:space="preserve">, </w:t>
      </w:r>
      <w:r w:rsidR="00807E87">
        <w:t>labour</w:t>
      </w:r>
      <w:r w:rsidR="00033E44">
        <w:t xml:space="preserve"> and equipment ‘wear-and-tear’</w:t>
      </w:r>
      <w:r w:rsidR="00172620" w:rsidRPr="00172620">
        <w:t xml:space="preserve">. </w:t>
      </w:r>
      <w:r w:rsidR="00033E44">
        <w:t xml:space="preserve">Moreover, a long-term </w:t>
      </w:r>
      <w:r w:rsidR="00F57E00">
        <w:t xml:space="preserve">negative </w:t>
      </w:r>
      <w:r w:rsidR="00033E44">
        <w:t xml:space="preserve">impact on the beneficial insect </w:t>
      </w:r>
      <w:proofErr w:type="gramStart"/>
      <w:r w:rsidR="00033E44">
        <w:t>complex,</w:t>
      </w:r>
      <w:proofErr w:type="gramEnd"/>
      <w:r w:rsidR="00033E44">
        <w:t xml:space="preserve"> </w:t>
      </w:r>
      <w:r w:rsidR="008D7516">
        <w:t>can</w:t>
      </w:r>
      <w:r w:rsidR="00033E44">
        <w:t xml:space="preserve"> be expected. </w:t>
      </w:r>
      <w:r w:rsidR="00172620" w:rsidRPr="00172620">
        <w:t xml:space="preserve">   </w:t>
      </w:r>
    </w:p>
    <w:p w:rsidR="00C94BC6" w:rsidRDefault="00C94BC6" w:rsidP="00DD3C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Based on the</w:t>
      </w:r>
      <w:r w:rsidR="00F0327E">
        <w:rPr>
          <w:sz w:val="22"/>
          <w:szCs w:val="22"/>
        </w:rPr>
        <w:t>se data</w:t>
      </w:r>
      <w:r>
        <w:rPr>
          <w:sz w:val="22"/>
          <w:szCs w:val="22"/>
        </w:rPr>
        <w:t xml:space="preserve">, the water component in the mixture seems to have a positive effect on nut set and development. </w:t>
      </w:r>
      <w:r w:rsidR="00F0327E">
        <w:rPr>
          <w:sz w:val="22"/>
          <w:szCs w:val="22"/>
        </w:rPr>
        <w:t>I</w:t>
      </w:r>
      <w:r>
        <w:rPr>
          <w:sz w:val="22"/>
          <w:szCs w:val="22"/>
        </w:rPr>
        <w:t>nteresting to note</w:t>
      </w:r>
      <w:r w:rsidR="00F0327E">
        <w:rPr>
          <w:sz w:val="22"/>
          <w:szCs w:val="22"/>
        </w:rPr>
        <w:t xml:space="preserve"> on Fig. </w:t>
      </w:r>
      <w:r w:rsidR="00855A1D">
        <w:rPr>
          <w:sz w:val="22"/>
          <w:szCs w:val="22"/>
        </w:rPr>
        <w:t>5</w:t>
      </w:r>
      <w:r w:rsidR="00F0327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is the </w:t>
      </w:r>
      <w:r w:rsidR="00F0327E">
        <w:rPr>
          <w:sz w:val="22"/>
          <w:szCs w:val="22"/>
        </w:rPr>
        <w:t xml:space="preserve">gradual decreasing effect when moving away from the October applications (December, February, April, Feb-Apr, Dec-Apr). </w:t>
      </w:r>
      <w:r>
        <w:rPr>
          <w:sz w:val="22"/>
          <w:szCs w:val="22"/>
        </w:rPr>
        <w:t xml:space="preserve">Seemingly, a water-only application during </w:t>
      </w:r>
      <w:r w:rsidR="003B5E9A">
        <w:rPr>
          <w:sz w:val="22"/>
          <w:szCs w:val="22"/>
        </w:rPr>
        <w:t>October (flowering/pollination)</w:t>
      </w:r>
      <w:r>
        <w:rPr>
          <w:sz w:val="22"/>
          <w:szCs w:val="22"/>
        </w:rPr>
        <w:t xml:space="preserve"> </w:t>
      </w:r>
      <w:proofErr w:type="gramStart"/>
      <w:r w:rsidR="00D30781">
        <w:rPr>
          <w:sz w:val="22"/>
          <w:szCs w:val="22"/>
        </w:rPr>
        <w:t>c</w:t>
      </w:r>
      <w:r>
        <w:rPr>
          <w:sz w:val="22"/>
          <w:szCs w:val="22"/>
        </w:rPr>
        <w:t>ould be further investigated</w:t>
      </w:r>
      <w:proofErr w:type="gramEnd"/>
      <w:r>
        <w:rPr>
          <w:sz w:val="22"/>
          <w:szCs w:val="22"/>
        </w:rPr>
        <w:t xml:space="preserve"> as an economically feasible management practice, especially in the Bull Hill region (</w:t>
      </w:r>
      <w:r>
        <w:rPr>
          <w:i/>
          <w:iCs/>
          <w:sz w:val="22"/>
          <w:szCs w:val="22"/>
        </w:rPr>
        <w:t>ca</w:t>
      </w:r>
      <w:r>
        <w:rPr>
          <w:sz w:val="22"/>
          <w:szCs w:val="22"/>
        </w:rPr>
        <w:t xml:space="preserve">. 18% price increase). </w:t>
      </w:r>
    </w:p>
    <w:p w:rsidR="00F0327E" w:rsidRDefault="00F0327E" w:rsidP="00DD3CBE">
      <w:pPr>
        <w:pStyle w:val="Default"/>
        <w:jc w:val="both"/>
        <w:rPr>
          <w:sz w:val="22"/>
          <w:szCs w:val="22"/>
        </w:rPr>
      </w:pPr>
    </w:p>
    <w:p w:rsidR="003B4C55" w:rsidRPr="00793A9D" w:rsidRDefault="009C4B7F" w:rsidP="00DD3CBE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Five m</w:t>
      </w:r>
      <w:r w:rsidR="001148B5">
        <w:rPr>
          <w:b/>
          <w:sz w:val="22"/>
          <w:szCs w:val="22"/>
        </w:rPr>
        <w:t>ain c</w:t>
      </w:r>
      <w:r w:rsidR="003B4C55" w:rsidRPr="00793A9D">
        <w:rPr>
          <w:b/>
          <w:sz w:val="22"/>
          <w:szCs w:val="22"/>
        </w:rPr>
        <w:t>onclusions following this project:</w:t>
      </w:r>
    </w:p>
    <w:p w:rsidR="003B4C55" w:rsidRDefault="003B4C55" w:rsidP="00DD3CBE">
      <w:pPr>
        <w:pStyle w:val="Default"/>
        <w:jc w:val="both"/>
        <w:rPr>
          <w:sz w:val="22"/>
          <w:szCs w:val="22"/>
        </w:rPr>
      </w:pPr>
    </w:p>
    <w:p w:rsidR="003B4C55" w:rsidRDefault="003B4C55" w:rsidP="00A85B3A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3B4C55">
        <w:rPr>
          <w:sz w:val="22"/>
          <w:szCs w:val="22"/>
        </w:rPr>
        <w:t xml:space="preserve">A very healthy community of beneficial insects </w:t>
      </w:r>
      <w:r w:rsidR="0085574B">
        <w:rPr>
          <w:sz w:val="22"/>
          <w:szCs w:val="22"/>
        </w:rPr>
        <w:t xml:space="preserve">is </w:t>
      </w:r>
      <w:r w:rsidRPr="003B4C55">
        <w:rPr>
          <w:sz w:val="22"/>
          <w:szCs w:val="22"/>
        </w:rPr>
        <w:t xml:space="preserve">present throughout all orchards; these insects </w:t>
      </w:r>
      <w:proofErr w:type="gramStart"/>
      <w:r w:rsidRPr="003B4C55">
        <w:rPr>
          <w:sz w:val="22"/>
          <w:szCs w:val="22"/>
        </w:rPr>
        <w:t>must be protected</w:t>
      </w:r>
      <w:proofErr w:type="gramEnd"/>
      <w:r w:rsidRPr="003B4C55">
        <w:rPr>
          <w:sz w:val="22"/>
          <w:szCs w:val="22"/>
        </w:rPr>
        <w:t>! (Conservation Biological Control should be priority)</w:t>
      </w:r>
    </w:p>
    <w:p w:rsidR="003B4C55" w:rsidRDefault="003B4C55" w:rsidP="003B4C55">
      <w:pPr>
        <w:pStyle w:val="Default"/>
        <w:ind w:left="284"/>
        <w:jc w:val="both"/>
        <w:rPr>
          <w:sz w:val="22"/>
          <w:szCs w:val="22"/>
        </w:rPr>
      </w:pPr>
    </w:p>
    <w:p w:rsidR="00B62BA3" w:rsidRPr="003B4C55" w:rsidRDefault="003B4C55" w:rsidP="003B4C55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3B4C55">
        <w:rPr>
          <w:sz w:val="22"/>
          <w:szCs w:val="22"/>
        </w:rPr>
        <w:t xml:space="preserve">The </w:t>
      </w:r>
      <w:r w:rsidR="00B62BA3" w:rsidRPr="003B4C55">
        <w:rPr>
          <w:sz w:val="22"/>
          <w:szCs w:val="22"/>
        </w:rPr>
        <w:t xml:space="preserve">bark stinkbug, </w:t>
      </w:r>
      <w:r w:rsidR="00B62BA3" w:rsidRPr="003B4C55">
        <w:rPr>
          <w:i/>
          <w:sz w:val="22"/>
          <w:szCs w:val="22"/>
        </w:rPr>
        <w:t>C. nervosa</w:t>
      </w:r>
      <w:r w:rsidR="00B62BA3" w:rsidRPr="003B4C55">
        <w:rPr>
          <w:sz w:val="22"/>
          <w:szCs w:val="22"/>
        </w:rPr>
        <w:t xml:space="preserve">, is not an economically important </w:t>
      </w:r>
      <w:r w:rsidR="0085574B">
        <w:rPr>
          <w:sz w:val="22"/>
          <w:szCs w:val="22"/>
        </w:rPr>
        <w:t xml:space="preserve">insect </w:t>
      </w:r>
      <w:r w:rsidR="00B62BA3" w:rsidRPr="003B4C55">
        <w:rPr>
          <w:sz w:val="22"/>
          <w:szCs w:val="22"/>
        </w:rPr>
        <w:t>pest of pecan</w:t>
      </w:r>
      <w:r w:rsidR="00B1096A">
        <w:rPr>
          <w:sz w:val="22"/>
          <w:szCs w:val="22"/>
        </w:rPr>
        <w:t>.</w:t>
      </w:r>
    </w:p>
    <w:p w:rsidR="00B62BA3" w:rsidRPr="00B62BA3" w:rsidRDefault="003B4C55" w:rsidP="003B4C55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Although it can vector </w:t>
      </w:r>
      <w:r w:rsidR="00B62BA3" w:rsidRPr="00B62BA3">
        <w:rPr>
          <w:sz w:val="22"/>
          <w:szCs w:val="22"/>
        </w:rPr>
        <w:t xml:space="preserve">fungi, </w:t>
      </w:r>
      <w:r>
        <w:rPr>
          <w:sz w:val="22"/>
          <w:szCs w:val="22"/>
        </w:rPr>
        <w:t xml:space="preserve">the </w:t>
      </w:r>
      <w:r w:rsidR="00B62BA3" w:rsidRPr="00B62BA3">
        <w:rPr>
          <w:sz w:val="22"/>
          <w:szCs w:val="22"/>
        </w:rPr>
        <w:t>population densiti</w:t>
      </w:r>
      <w:r>
        <w:rPr>
          <w:sz w:val="22"/>
          <w:szCs w:val="22"/>
        </w:rPr>
        <w:t xml:space="preserve">es must be very high before significant ‘spoilage’ is </w:t>
      </w:r>
      <w:r w:rsidR="00277312">
        <w:rPr>
          <w:sz w:val="22"/>
          <w:szCs w:val="22"/>
        </w:rPr>
        <w:t>expected</w:t>
      </w:r>
      <w:r w:rsidR="003E6FD8">
        <w:rPr>
          <w:sz w:val="22"/>
          <w:szCs w:val="22"/>
        </w:rPr>
        <w:t xml:space="preserve">. </w:t>
      </w:r>
      <w:r w:rsidR="00E0162A">
        <w:rPr>
          <w:sz w:val="22"/>
          <w:szCs w:val="22"/>
        </w:rPr>
        <w:t xml:space="preserve">Moreover, </w:t>
      </w:r>
      <w:r w:rsidR="006C4DF6">
        <w:rPr>
          <w:sz w:val="22"/>
          <w:szCs w:val="22"/>
        </w:rPr>
        <w:t>n</w:t>
      </w:r>
      <w:r w:rsidR="003E6FD8">
        <w:rPr>
          <w:sz w:val="22"/>
          <w:szCs w:val="22"/>
        </w:rPr>
        <w:t xml:space="preserve">o direct feeding on </w:t>
      </w:r>
      <w:proofErr w:type="gramStart"/>
      <w:r w:rsidR="003E6FD8">
        <w:rPr>
          <w:sz w:val="22"/>
          <w:szCs w:val="22"/>
        </w:rPr>
        <w:t>nut meat</w:t>
      </w:r>
      <w:proofErr w:type="gramEnd"/>
      <w:r w:rsidR="003E6FD8">
        <w:rPr>
          <w:sz w:val="22"/>
          <w:szCs w:val="22"/>
        </w:rPr>
        <w:t xml:space="preserve"> and no drop in nut weight </w:t>
      </w:r>
      <w:r w:rsidR="0085574B">
        <w:rPr>
          <w:sz w:val="22"/>
          <w:szCs w:val="22"/>
        </w:rPr>
        <w:t xml:space="preserve">was </w:t>
      </w:r>
      <w:r w:rsidR="003E6FD8">
        <w:rPr>
          <w:sz w:val="22"/>
          <w:szCs w:val="22"/>
        </w:rPr>
        <w:t>recorded</w:t>
      </w:r>
    </w:p>
    <w:p w:rsidR="00B62BA3" w:rsidRPr="00B62BA3" w:rsidRDefault="00B62BA3" w:rsidP="00B62BA3">
      <w:pPr>
        <w:pStyle w:val="Default"/>
        <w:jc w:val="both"/>
        <w:rPr>
          <w:sz w:val="22"/>
          <w:szCs w:val="22"/>
        </w:rPr>
      </w:pPr>
    </w:p>
    <w:p w:rsidR="00B62BA3" w:rsidRPr="00793A9D" w:rsidRDefault="003E6FD8" w:rsidP="002F53C4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Broad-spectrum insecticide applications: </w:t>
      </w:r>
      <w:r w:rsidR="00B62BA3" w:rsidRPr="00793A9D">
        <w:rPr>
          <w:sz w:val="22"/>
          <w:szCs w:val="22"/>
        </w:rPr>
        <w:t>Only at one site (</w:t>
      </w:r>
      <w:proofErr w:type="spellStart"/>
      <w:r w:rsidR="00B62BA3" w:rsidRPr="00793A9D">
        <w:rPr>
          <w:sz w:val="22"/>
          <w:szCs w:val="22"/>
        </w:rPr>
        <w:t>Tadcaster</w:t>
      </w:r>
      <w:proofErr w:type="spellEnd"/>
      <w:r w:rsidR="00B62BA3" w:rsidRPr="00793A9D">
        <w:rPr>
          <w:sz w:val="22"/>
          <w:szCs w:val="22"/>
        </w:rPr>
        <w:t xml:space="preserve">) did the </w:t>
      </w:r>
      <w:proofErr w:type="gramStart"/>
      <w:r w:rsidR="00277312">
        <w:rPr>
          <w:sz w:val="22"/>
          <w:szCs w:val="22"/>
        </w:rPr>
        <w:t>4x</w:t>
      </w:r>
      <w:proofErr w:type="gramEnd"/>
      <w:r w:rsidR="00277312">
        <w:rPr>
          <w:sz w:val="22"/>
          <w:szCs w:val="22"/>
        </w:rPr>
        <w:t xml:space="preserve"> </w:t>
      </w:r>
      <w:r w:rsidR="00B62BA3" w:rsidRPr="00793A9D">
        <w:rPr>
          <w:sz w:val="22"/>
          <w:szCs w:val="22"/>
        </w:rPr>
        <w:t xml:space="preserve">insecticide outperform the </w:t>
      </w:r>
      <w:r w:rsidR="00277312">
        <w:rPr>
          <w:sz w:val="22"/>
          <w:szCs w:val="22"/>
        </w:rPr>
        <w:t xml:space="preserve">4x </w:t>
      </w:r>
      <w:r w:rsidR="00B62BA3" w:rsidRPr="00793A9D">
        <w:rPr>
          <w:sz w:val="22"/>
          <w:szCs w:val="22"/>
        </w:rPr>
        <w:t>water treatment (+R4.19/kg</w:t>
      </w:r>
      <w:r w:rsidR="00F105E6" w:rsidRPr="00793A9D">
        <w:rPr>
          <w:sz w:val="22"/>
          <w:szCs w:val="22"/>
        </w:rPr>
        <w:t xml:space="preserve"> difference</w:t>
      </w:r>
      <w:r w:rsidR="00B62BA3" w:rsidRPr="00793A9D">
        <w:rPr>
          <w:sz w:val="22"/>
          <w:szCs w:val="22"/>
        </w:rPr>
        <w:t>),</w:t>
      </w:r>
      <w:r w:rsidR="00F105E6" w:rsidRPr="00793A9D">
        <w:rPr>
          <w:sz w:val="22"/>
          <w:szCs w:val="22"/>
        </w:rPr>
        <w:t xml:space="preserve"> </w:t>
      </w:r>
      <w:r w:rsidR="00B62BA3" w:rsidRPr="00793A9D">
        <w:rPr>
          <w:sz w:val="22"/>
          <w:szCs w:val="22"/>
        </w:rPr>
        <w:t xml:space="preserve">but only 42c was gained per kg compared to </w:t>
      </w:r>
      <w:r w:rsidR="00793A9D">
        <w:rPr>
          <w:sz w:val="22"/>
          <w:szCs w:val="22"/>
        </w:rPr>
        <w:t xml:space="preserve">the untreated </w:t>
      </w:r>
      <w:r w:rsidR="00B62BA3" w:rsidRPr="00793A9D">
        <w:rPr>
          <w:sz w:val="22"/>
          <w:szCs w:val="22"/>
        </w:rPr>
        <w:t>control</w:t>
      </w:r>
      <w:r w:rsidR="00EA231B">
        <w:rPr>
          <w:sz w:val="22"/>
          <w:szCs w:val="22"/>
        </w:rPr>
        <w:t xml:space="preserve">. At the two other sites, the </w:t>
      </w:r>
      <w:proofErr w:type="gramStart"/>
      <w:r w:rsidR="00277312">
        <w:rPr>
          <w:sz w:val="22"/>
          <w:szCs w:val="22"/>
        </w:rPr>
        <w:t>4x</w:t>
      </w:r>
      <w:proofErr w:type="gramEnd"/>
      <w:r w:rsidR="00277312">
        <w:rPr>
          <w:sz w:val="22"/>
          <w:szCs w:val="22"/>
        </w:rPr>
        <w:t xml:space="preserve"> </w:t>
      </w:r>
      <w:r w:rsidR="00EA231B">
        <w:rPr>
          <w:sz w:val="22"/>
          <w:szCs w:val="22"/>
        </w:rPr>
        <w:t>water treatment outperformed the 4x insecticide treatment</w:t>
      </w:r>
      <w:r w:rsidR="00277312">
        <w:rPr>
          <w:sz w:val="22"/>
          <w:szCs w:val="22"/>
        </w:rPr>
        <w:t xml:space="preserve">. According to these observations, </w:t>
      </w:r>
      <w:r w:rsidR="00277312" w:rsidRPr="00277312">
        <w:rPr>
          <w:sz w:val="22"/>
          <w:szCs w:val="22"/>
        </w:rPr>
        <w:t>the water component in the tank mixture appears to be the beneficiating factor and not the insecticide</w:t>
      </w:r>
    </w:p>
    <w:p w:rsidR="00B62BA3" w:rsidRPr="00B62BA3" w:rsidRDefault="00B62BA3" w:rsidP="00B62BA3">
      <w:pPr>
        <w:pStyle w:val="Default"/>
        <w:jc w:val="both"/>
        <w:rPr>
          <w:sz w:val="22"/>
          <w:szCs w:val="22"/>
        </w:rPr>
      </w:pPr>
    </w:p>
    <w:p w:rsidR="00B62BA3" w:rsidRDefault="00DD0CFF" w:rsidP="006F2A21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2BA3" w:rsidRPr="00B62BA3">
        <w:rPr>
          <w:sz w:val="22"/>
          <w:szCs w:val="22"/>
        </w:rPr>
        <w:t xml:space="preserve">. </w:t>
      </w:r>
      <w:proofErr w:type="gramStart"/>
      <w:r w:rsidR="0085574B">
        <w:rPr>
          <w:sz w:val="22"/>
          <w:szCs w:val="22"/>
        </w:rPr>
        <w:t>The</w:t>
      </w:r>
      <w:proofErr w:type="gramEnd"/>
      <w:r w:rsidR="0085574B">
        <w:rPr>
          <w:sz w:val="22"/>
          <w:szCs w:val="22"/>
        </w:rPr>
        <w:t xml:space="preserve"> m</w:t>
      </w:r>
      <w:r w:rsidR="00B62BA3" w:rsidRPr="00B62BA3">
        <w:rPr>
          <w:sz w:val="22"/>
          <w:szCs w:val="22"/>
        </w:rPr>
        <w:t xml:space="preserve">ost notable benefit of a water application </w:t>
      </w:r>
      <w:r w:rsidR="0085574B">
        <w:rPr>
          <w:sz w:val="22"/>
          <w:szCs w:val="22"/>
        </w:rPr>
        <w:t xml:space="preserve">was </w:t>
      </w:r>
      <w:r w:rsidR="00B62BA3" w:rsidRPr="00B62BA3">
        <w:rPr>
          <w:sz w:val="22"/>
          <w:szCs w:val="22"/>
        </w:rPr>
        <w:t>recorded at Bull Hill (</w:t>
      </w:r>
      <w:r w:rsidR="009B7E91">
        <w:rPr>
          <w:sz w:val="22"/>
          <w:szCs w:val="22"/>
        </w:rPr>
        <w:t xml:space="preserve">are there specific </w:t>
      </w:r>
      <w:r w:rsidR="00B62BA3" w:rsidRPr="00B62BA3">
        <w:rPr>
          <w:sz w:val="22"/>
          <w:szCs w:val="22"/>
        </w:rPr>
        <w:t>environmental conditions</w:t>
      </w:r>
      <w:r w:rsidR="009B7E91">
        <w:rPr>
          <w:sz w:val="22"/>
          <w:szCs w:val="22"/>
        </w:rPr>
        <w:t xml:space="preserve"> in this area, under which such application promoted nut development</w:t>
      </w:r>
      <w:r w:rsidR="00B62BA3" w:rsidRPr="00B62BA3">
        <w:rPr>
          <w:sz w:val="22"/>
          <w:szCs w:val="22"/>
        </w:rPr>
        <w:t>?)</w:t>
      </w:r>
      <w:r w:rsidR="00353D6E">
        <w:rPr>
          <w:sz w:val="22"/>
          <w:szCs w:val="22"/>
        </w:rPr>
        <w:t xml:space="preserve">. </w:t>
      </w:r>
      <w:r w:rsidR="00B62BA3" w:rsidRPr="00B62BA3">
        <w:rPr>
          <w:sz w:val="22"/>
          <w:szCs w:val="22"/>
        </w:rPr>
        <w:t xml:space="preserve">A water application during pollination (October) seems the most beneficial </w:t>
      </w:r>
      <w:r w:rsidR="002B33A6">
        <w:rPr>
          <w:sz w:val="22"/>
          <w:szCs w:val="22"/>
        </w:rPr>
        <w:t xml:space="preserve">and </w:t>
      </w:r>
      <w:r w:rsidR="00B62BA3" w:rsidRPr="00B62BA3">
        <w:rPr>
          <w:sz w:val="22"/>
          <w:szCs w:val="22"/>
        </w:rPr>
        <w:t xml:space="preserve">further research </w:t>
      </w:r>
      <w:r w:rsidR="006F2A21">
        <w:rPr>
          <w:sz w:val="22"/>
          <w:szCs w:val="22"/>
        </w:rPr>
        <w:t xml:space="preserve">seems </w:t>
      </w:r>
      <w:r w:rsidR="002B33A6">
        <w:rPr>
          <w:sz w:val="22"/>
          <w:szCs w:val="22"/>
        </w:rPr>
        <w:t>warranted</w:t>
      </w:r>
    </w:p>
    <w:p w:rsidR="003B4C55" w:rsidRDefault="003B4C55" w:rsidP="00B62BA3">
      <w:pPr>
        <w:pStyle w:val="Default"/>
        <w:jc w:val="both"/>
        <w:rPr>
          <w:sz w:val="22"/>
          <w:szCs w:val="22"/>
        </w:rPr>
      </w:pPr>
    </w:p>
    <w:p w:rsidR="00B62BA3" w:rsidRPr="00B62BA3" w:rsidRDefault="00353D6E" w:rsidP="00B62B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B4C55">
        <w:rPr>
          <w:sz w:val="22"/>
          <w:szCs w:val="22"/>
        </w:rPr>
        <w:t xml:space="preserve">.   </w:t>
      </w:r>
      <w:r w:rsidR="00B62BA3" w:rsidRPr="00B62BA3">
        <w:rPr>
          <w:sz w:val="22"/>
          <w:szCs w:val="22"/>
        </w:rPr>
        <w:t xml:space="preserve">Wide-scale insecticide applications are discouraged! </w:t>
      </w:r>
    </w:p>
    <w:p w:rsidR="00B62BA3" w:rsidRDefault="00B62BA3" w:rsidP="003B4C55">
      <w:pPr>
        <w:pStyle w:val="Default"/>
        <w:jc w:val="both"/>
        <w:rPr>
          <w:sz w:val="22"/>
          <w:szCs w:val="22"/>
        </w:rPr>
      </w:pPr>
    </w:p>
    <w:p w:rsidR="00B62BA3" w:rsidRDefault="00B62BA3" w:rsidP="00DD3CBE">
      <w:pPr>
        <w:pStyle w:val="Default"/>
        <w:jc w:val="both"/>
        <w:rPr>
          <w:sz w:val="22"/>
          <w:szCs w:val="22"/>
        </w:rPr>
      </w:pPr>
    </w:p>
    <w:sectPr w:rsidR="00B62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B34"/>
    <w:multiLevelType w:val="hybridMultilevel"/>
    <w:tmpl w:val="43EAC5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D1342"/>
    <w:multiLevelType w:val="hybridMultilevel"/>
    <w:tmpl w:val="931AE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5641"/>
    <w:multiLevelType w:val="hybridMultilevel"/>
    <w:tmpl w:val="FF1217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D5F52"/>
    <w:multiLevelType w:val="hybridMultilevel"/>
    <w:tmpl w:val="A14A3D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0470E"/>
    <w:multiLevelType w:val="hybridMultilevel"/>
    <w:tmpl w:val="FCE8F6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C6"/>
    <w:rsid w:val="000048E7"/>
    <w:rsid w:val="00033E44"/>
    <w:rsid w:val="00041C54"/>
    <w:rsid w:val="00043FC9"/>
    <w:rsid w:val="00046D48"/>
    <w:rsid w:val="00066103"/>
    <w:rsid w:val="00072BB9"/>
    <w:rsid w:val="000B218C"/>
    <w:rsid w:val="000C44E4"/>
    <w:rsid w:val="001148B5"/>
    <w:rsid w:val="00172620"/>
    <w:rsid w:val="001B2A29"/>
    <w:rsid w:val="001B3910"/>
    <w:rsid w:val="001D45EE"/>
    <w:rsid w:val="001E22CC"/>
    <w:rsid w:val="001E654A"/>
    <w:rsid w:val="001E7D58"/>
    <w:rsid w:val="001F61BB"/>
    <w:rsid w:val="0021068B"/>
    <w:rsid w:val="002139FF"/>
    <w:rsid w:val="00220DAA"/>
    <w:rsid w:val="00234DA4"/>
    <w:rsid w:val="00260554"/>
    <w:rsid w:val="002732B5"/>
    <w:rsid w:val="00276AE9"/>
    <w:rsid w:val="00277312"/>
    <w:rsid w:val="002B2CF5"/>
    <w:rsid w:val="002B33A6"/>
    <w:rsid w:val="002D1515"/>
    <w:rsid w:val="002E0341"/>
    <w:rsid w:val="002F53C4"/>
    <w:rsid w:val="00322393"/>
    <w:rsid w:val="0034298C"/>
    <w:rsid w:val="00353D6E"/>
    <w:rsid w:val="00380A4A"/>
    <w:rsid w:val="003B43EC"/>
    <w:rsid w:val="003B4C55"/>
    <w:rsid w:val="003B5E9A"/>
    <w:rsid w:val="003B6370"/>
    <w:rsid w:val="003E47DA"/>
    <w:rsid w:val="003E6FD8"/>
    <w:rsid w:val="003F7223"/>
    <w:rsid w:val="00400AEC"/>
    <w:rsid w:val="00411FBE"/>
    <w:rsid w:val="004572F4"/>
    <w:rsid w:val="004B6C8B"/>
    <w:rsid w:val="004D29DD"/>
    <w:rsid w:val="004D581F"/>
    <w:rsid w:val="00500E7B"/>
    <w:rsid w:val="005614CC"/>
    <w:rsid w:val="00575F8F"/>
    <w:rsid w:val="005802A0"/>
    <w:rsid w:val="00591C06"/>
    <w:rsid w:val="0060176E"/>
    <w:rsid w:val="0060544B"/>
    <w:rsid w:val="00613906"/>
    <w:rsid w:val="006263D3"/>
    <w:rsid w:val="00641FB1"/>
    <w:rsid w:val="006911B6"/>
    <w:rsid w:val="006B674D"/>
    <w:rsid w:val="006C4DF6"/>
    <w:rsid w:val="006D35DA"/>
    <w:rsid w:val="006E1C49"/>
    <w:rsid w:val="006F2A21"/>
    <w:rsid w:val="00730197"/>
    <w:rsid w:val="00736CC9"/>
    <w:rsid w:val="00756994"/>
    <w:rsid w:val="00776775"/>
    <w:rsid w:val="00785EBD"/>
    <w:rsid w:val="00793A9D"/>
    <w:rsid w:val="007B485E"/>
    <w:rsid w:val="007C1A92"/>
    <w:rsid w:val="007C3AE5"/>
    <w:rsid w:val="007D47EA"/>
    <w:rsid w:val="007E25E0"/>
    <w:rsid w:val="00807E87"/>
    <w:rsid w:val="008145D0"/>
    <w:rsid w:val="00832419"/>
    <w:rsid w:val="00847D3D"/>
    <w:rsid w:val="0085574B"/>
    <w:rsid w:val="00855A1D"/>
    <w:rsid w:val="008611C5"/>
    <w:rsid w:val="00866D33"/>
    <w:rsid w:val="008A2541"/>
    <w:rsid w:val="008A49F9"/>
    <w:rsid w:val="008D4A4F"/>
    <w:rsid w:val="008D7516"/>
    <w:rsid w:val="00956003"/>
    <w:rsid w:val="00956E6F"/>
    <w:rsid w:val="0097223A"/>
    <w:rsid w:val="009B40B8"/>
    <w:rsid w:val="009B6A87"/>
    <w:rsid w:val="009B7E91"/>
    <w:rsid w:val="009C4B7F"/>
    <w:rsid w:val="009C7638"/>
    <w:rsid w:val="00A1453F"/>
    <w:rsid w:val="00A37C74"/>
    <w:rsid w:val="00A37D3C"/>
    <w:rsid w:val="00A42608"/>
    <w:rsid w:val="00A55E24"/>
    <w:rsid w:val="00A83884"/>
    <w:rsid w:val="00AC45BA"/>
    <w:rsid w:val="00AE672B"/>
    <w:rsid w:val="00B1096A"/>
    <w:rsid w:val="00B20F19"/>
    <w:rsid w:val="00B26168"/>
    <w:rsid w:val="00B40EB8"/>
    <w:rsid w:val="00B62BA3"/>
    <w:rsid w:val="00B644C9"/>
    <w:rsid w:val="00B85A0A"/>
    <w:rsid w:val="00B91221"/>
    <w:rsid w:val="00B93DDD"/>
    <w:rsid w:val="00BD2CCD"/>
    <w:rsid w:val="00C0358E"/>
    <w:rsid w:val="00C700C5"/>
    <w:rsid w:val="00C94BC6"/>
    <w:rsid w:val="00C97003"/>
    <w:rsid w:val="00CC4A93"/>
    <w:rsid w:val="00CD558E"/>
    <w:rsid w:val="00D30781"/>
    <w:rsid w:val="00D5061B"/>
    <w:rsid w:val="00D5437F"/>
    <w:rsid w:val="00D60BDD"/>
    <w:rsid w:val="00DB04E2"/>
    <w:rsid w:val="00DB11A6"/>
    <w:rsid w:val="00DD0CFF"/>
    <w:rsid w:val="00DD3CBE"/>
    <w:rsid w:val="00DE17DB"/>
    <w:rsid w:val="00DF0CD5"/>
    <w:rsid w:val="00E0162A"/>
    <w:rsid w:val="00E05321"/>
    <w:rsid w:val="00E15AD6"/>
    <w:rsid w:val="00E7152F"/>
    <w:rsid w:val="00E96ABB"/>
    <w:rsid w:val="00EA2119"/>
    <w:rsid w:val="00EA231B"/>
    <w:rsid w:val="00EE6A7C"/>
    <w:rsid w:val="00F0327E"/>
    <w:rsid w:val="00F105E6"/>
    <w:rsid w:val="00F24B41"/>
    <w:rsid w:val="00F31494"/>
    <w:rsid w:val="00F314AA"/>
    <w:rsid w:val="00F50337"/>
    <w:rsid w:val="00F57E00"/>
    <w:rsid w:val="00F85576"/>
    <w:rsid w:val="00F951FA"/>
    <w:rsid w:val="00FA03FD"/>
    <w:rsid w:val="00FB2B33"/>
    <w:rsid w:val="00F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680A"/>
  <w15:chartTrackingRefBased/>
  <w15:docId w15:val="{70F0D26B-62D9-457D-968A-03DEB3E2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4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3B63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9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hyperlink" Target="http://article.sapub.org/pdf/10.5923.s.ijmb.201310.0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Chart%20in%20Microsoft%20PowerPoint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Pest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0C-4DFC-BC8F-839478C6F885}"/>
              </c:ext>
            </c:extLst>
          </c:dPt>
          <c:cat>
            <c:strRef>
              <c:f>Sheet1!$A$2:$A$7</c:f>
              <c:strCache>
                <c:ptCount val="6"/>
                <c:pt idx="0">
                  <c:v>Dec</c:v>
                </c:pt>
                <c:pt idx="1">
                  <c:v>Feb</c:v>
                </c:pt>
                <c:pt idx="2">
                  <c:v>Apr</c:v>
                </c:pt>
                <c:pt idx="3">
                  <c:v>Jun</c:v>
                </c:pt>
                <c:pt idx="4">
                  <c:v>Aug</c:v>
                </c:pt>
                <c:pt idx="5">
                  <c:v>Oct</c:v>
                </c:pt>
              </c:strCache>
            </c:strRef>
          </c:cat>
          <c:val>
            <c:numRef>
              <c:f>Sheet1!$B$2:$B$7</c:f>
              <c:numCache>
                <c:formatCode>0</c:formatCode>
                <c:ptCount val="6"/>
                <c:pt idx="0">
                  <c:v>28.5</c:v>
                </c:pt>
                <c:pt idx="1">
                  <c:v>33.25</c:v>
                </c:pt>
                <c:pt idx="2">
                  <c:v>44.5</c:v>
                </c:pt>
                <c:pt idx="3">
                  <c:v>25.25</c:v>
                </c:pt>
                <c:pt idx="4">
                  <c:v>44.5</c:v>
                </c:pt>
                <c:pt idx="5">
                  <c:v>51.7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0C-4DFC-BC8F-839478C6F88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Beneficial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Dec</c:v>
                </c:pt>
                <c:pt idx="1">
                  <c:v>Feb</c:v>
                </c:pt>
                <c:pt idx="2">
                  <c:v>Apr</c:v>
                </c:pt>
                <c:pt idx="3">
                  <c:v>Jun</c:v>
                </c:pt>
                <c:pt idx="4">
                  <c:v>Aug</c:v>
                </c:pt>
                <c:pt idx="5">
                  <c:v>Oct</c:v>
                </c:pt>
              </c:strCache>
            </c:strRef>
          </c:cat>
          <c:val>
            <c:numRef>
              <c:f>Sheet1!$C$2:$C$7</c:f>
              <c:numCache>
                <c:formatCode>0</c:formatCode>
                <c:ptCount val="6"/>
                <c:pt idx="0">
                  <c:v>31.25</c:v>
                </c:pt>
                <c:pt idx="1">
                  <c:v>33</c:v>
                </c:pt>
                <c:pt idx="2">
                  <c:v>32</c:v>
                </c:pt>
                <c:pt idx="3">
                  <c:v>72.25</c:v>
                </c:pt>
                <c:pt idx="4">
                  <c:v>28.5</c:v>
                </c:pt>
                <c:pt idx="5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0C-4DFC-BC8F-839478C6F88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Dec</c:v>
                </c:pt>
                <c:pt idx="1">
                  <c:v>Feb</c:v>
                </c:pt>
                <c:pt idx="2">
                  <c:v>Apr</c:v>
                </c:pt>
                <c:pt idx="3">
                  <c:v>Jun</c:v>
                </c:pt>
                <c:pt idx="4">
                  <c:v>Aug</c:v>
                </c:pt>
                <c:pt idx="5">
                  <c:v>Oct</c:v>
                </c:pt>
              </c:strCache>
            </c:strRef>
          </c:cat>
          <c:val>
            <c:numRef>
              <c:f>Sheet1!$D$2:$D$7</c:f>
              <c:numCache>
                <c:formatCode>0</c:formatCode>
                <c:ptCount val="6"/>
                <c:pt idx="0">
                  <c:v>40.25</c:v>
                </c:pt>
                <c:pt idx="1">
                  <c:v>33.75</c:v>
                </c:pt>
                <c:pt idx="2">
                  <c:v>23.5</c:v>
                </c:pt>
                <c:pt idx="3">
                  <c:v>2.5</c:v>
                </c:pt>
                <c:pt idx="4">
                  <c:v>27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0C-4DFC-BC8F-839478C6F88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Dec</c:v>
                </c:pt>
                <c:pt idx="1">
                  <c:v>Feb</c:v>
                </c:pt>
                <c:pt idx="2">
                  <c:v>Apr</c:v>
                </c:pt>
                <c:pt idx="3">
                  <c:v>Jun</c:v>
                </c:pt>
                <c:pt idx="4">
                  <c:v>Aug</c:v>
                </c:pt>
                <c:pt idx="5">
                  <c:v>Oct</c:v>
                </c:pt>
              </c:strCache>
            </c:strRef>
          </c:cat>
          <c:val>
            <c:numRef>
              <c:f>Sheet1!$E$2:$E$7</c:f>
              <c:numCache>
                <c:formatCode>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0C-4DFC-BC8F-839478C6F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77515872"/>
        <c:axId val="577516432"/>
      </c:barChart>
      <c:catAx>
        <c:axId val="57751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7516432"/>
        <c:crosses val="autoZero"/>
        <c:auto val="1"/>
        <c:lblAlgn val="ctr"/>
        <c:lblOffset val="100"/>
        <c:noMultiLvlLbl val="0"/>
      </c:catAx>
      <c:valAx>
        <c:axId val="5775164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751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'[Chart in Microsoft PowerPoint]Sheet1'!$A$82</c:f>
              <c:strCache>
                <c:ptCount val="1"/>
                <c:pt idx="0">
                  <c:v>Pest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5B4-4A22-9DC8-2806A9454050}"/>
              </c:ext>
            </c:extLst>
          </c:dPt>
          <c:dPt>
            <c:idx val="1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5B4-4A22-9DC8-2806A9454050}"/>
              </c:ext>
            </c:extLst>
          </c:dPt>
          <c:cat>
            <c:strRef>
              <c:f>'[Chart in Microsoft PowerPoint]Sheet1'!$B$81:$C$81</c:f>
              <c:strCache>
                <c:ptCount val="2"/>
                <c:pt idx="0">
                  <c:v>Pesti</c:v>
                </c:pt>
                <c:pt idx="1">
                  <c:v>Non Pes</c:v>
                </c:pt>
              </c:strCache>
            </c:strRef>
          </c:cat>
          <c:val>
            <c:numRef>
              <c:f>'[Chart in Microsoft PowerPoint]Sheet1'!$B$82:$C$82</c:f>
              <c:numCache>
                <c:formatCode>0</c:formatCode>
                <c:ptCount val="2"/>
                <c:pt idx="0">
                  <c:v>37.950000000000003</c:v>
                </c:pt>
                <c:pt idx="1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5B4-4A22-9DC8-2806A9454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 in Microsoft PowerPoint]Sheet1'!$M$21</c:f>
              <c:strCache>
                <c:ptCount val="1"/>
                <c:pt idx="0">
                  <c:v>Pest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'[Chart in Microsoft PowerPoint]Sheet1'!$L$24:$L$38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Mrt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'[Chart in Microsoft PowerPoint]Sheet1'!$M$24:$M$38</c:f>
              <c:numCache>
                <c:formatCode>0</c:formatCode>
                <c:ptCount val="15"/>
                <c:pt idx="0">
                  <c:v>8.1823587005108571</c:v>
                </c:pt>
                <c:pt idx="1">
                  <c:v>2.6499525862068971</c:v>
                </c:pt>
                <c:pt idx="2">
                  <c:v>16.350057080140484</c:v>
                </c:pt>
                <c:pt idx="3">
                  <c:v>30.050161574074071</c:v>
                </c:pt>
                <c:pt idx="4">
                  <c:v>20.756909490740739</c:v>
                </c:pt>
                <c:pt idx="5">
                  <c:v>11.463657407407405</c:v>
                </c:pt>
                <c:pt idx="6">
                  <c:v>15.864799537037037</c:v>
                </c:pt>
                <c:pt idx="7">
                  <c:v>20.265941666666667</c:v>
                </c:pt>
                <c:pt idx="8">
                  <c:v>17.247496225071224</c:v>
                </c:pt>
                <c:pt idx="9">
                  <c:v>14.229050783475785</c:v>
                </c:pt>
                <c:pt idx="10">
                  <c:v>13.971907799145299</c:v>
                </c:pt>
                <c:pt idx="11">
                  <c:v>13.714764814814815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07-42C0-96D1-332047DBDAF4}"/>
            </c:ext>
          </c:extLst>
        </c:ser>
        <c:ser>
          <c:idx val="1"/>
          <c:order val="1"/>
          <c:tx>
            <c:strRef>
              <c:f>'[Chart in Microsoft PowerPoint]Sheet1'!$N$21</c:f>
              <c:strCache>
                <c:ptCount val="1"/>
                <c:pt idx="0">
                  <c:v>Beneficial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strRef>
              <c:f>'[Chart in Microsoft PowerPoint]Sheet1'!$L$24:$L$38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Mrt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'[Chart in Microsoft PowerPoint]Sheet1'!$N$24:$N$38</c:f>
              <c:numCache>
                <c:formatCode>0</c:formatCode>
                <c:ptCount val="15"/>
                <c:pt idx="0">
                  <c:v>16.183807886334609</c:v>
                </c:pt>
                <c:pt idx="1">
                  <c:v>1.6697620689655173</c:v>
                </c:pt>
                <c:pt idx="2">
                  <c:v>3.5708463122605365</c:v>
                </c:pt>
                <c:pt idx="3">
                  <c:v>5.4719305555555557</c:v>
                </c:pt>
                <c:pt idx="4">
                  <c:v>10.751456018518518</c:v>
                </c:pt>
                <c:pt idx="5">
                  <c:v>16.030981481481479</c:v>
                </c:pt>
                <c:pt idx="6">
                  <c:v>17.487454629629632</c:v>
                </c:pt>
                <c:pt idx="7">
                  <c:v>18.94392777777778</c:v>
                </c:pt>
                <c:pt idx="8">
                  <c:v>38.134170762108269</c:v>
                </c:pt>
                <c:pt idx="9">
                  <c:v>57.324413746438751</c:v>
                </c:pt>
                <c:pt idx="10">
                  <c:v>44.011133725071225</c:v>
                </c:pt>
                <c:pt idx="11">
                  <c:v>30.697853703703704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07-42C0-96D1-332047DBD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7285999"/>
        <c:axId val="607288911"/>
      </c:barChart>
      <c:lineChart>
        <c:grouping val="standard"/>
        <c:varyColors val="0"/>
        <c:ser>
          <c:idx val="2"/>
          <c:order val="2"/>
          <c:tx>
            <c:strRef>
              <c:f>'[Chart in Microsoft PowerPoint]Sheet1'!$O$21</c:f>
              <c:strCache>
                <c:ptCount val="1"/>
                <c:pt idx="0">
                  <c:v>Neutral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strRef>
              <c:f>'[Chart in Microsoft PowerPoint]Sheet1'!$L$24:$L$38</c:f>
              <c:strCache>
                <c:ptCount val="12"/>
                <c:pt idx="0">
                  <c:v>Jul</c:v>
                </c:pt>
                <c:pt idx="1">
                  <c:v>Aug</c:v>
                </c:pt>
                <c:pt idx="2">
                  <c:v>Sept</c:v>
                </c:pt>
                <c:pt idx="3">
                  <c:v>Oct</c:v>
                </c:pt>
                <c:pt idx="4">
                  <c:v>Nov</c:v>
                </c:pt>
                <c:pt idx="5">
                  <c:v>Dec</c:v>
                </c:pt>
                <c:pt idx="6">
                  <c:v>Jan</c:v>
                </c:pt>
                <c:pt idx="7">
                  <c:v>Feb</c:v>
                </c:pt>
                <c:pt idx="8">
                  <c:v>Mrt</c:v>
                </c:pt>
                <c:pt idx="9">
                  <c:v>Apr</c:v>
                </c:pt>
                <c:pt idx="10">
                  <c:v>May</c:v>
                </c:pt>
                <c:pt idx="11">
                  <c:v>Jun</c:v>
                </c:pt>
              </c:strCache>
            </c:strRef>
          </c:cat>
          <c:val>
            <c:numRef>
              <c:f>'[Chart in Microsoft PowerPoint]Sheet1'!$O$24:$O$38</c:f>
              <c:numCache>
                <c:formatCode>0</c:formatCode>
                <c:ptCount val="15"/>
                <c:pt idx="0">
                  <c:v>1.6302615341634734</c:v>
                </c:pt>
                <c:pt idx="1">
                  <c:v>1.6943073275862066</c:v>
                </c:pt>
                <c:pt idx="2">
                  <c:v>10.704817552681993</c:v>
                </c:pt>
                <c:pt idx="3">
                  <c:v>19.71532777777778</c:v>
                </c:pt>
                <c:pt idx="4">
                  <c:v>20.792368209876543</c:v>
                </c:pt>
                <c:pt idx="5">
                  <c:v>21.869408641975308</c:v>
                </c:pt>
                <c:pt idx="6">
                  <c:v>19.192587191358022</c:v>
                </c:pt>
                <c:pt idx="7">
                  <c:v>16.51576574074074</c:v>
                </c:pt>
                <c:pt idx="8">
                  <c:v>37.507943340455839</c:v>
                </c:pt>
                <c:pt idx="9">
                  <c:v>58.500120940170945</c:v>
                </c:pt>
                <c:pt idx="10">
                  <c:v>30.033168340455841</c:v>
                </c:pt>
                <c:pt idx="11">
                  <c:v>1.5662157407407404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0507-42C0-96D1-332047DBD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7285999"/>
        <c:axId val="607288911"/>
      </c:lineChart>
      <c:catAx>
        <c:axId val="607285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7288911"/>
        <c:crosses val="autoZero"/>
        <c:auto val="1"/>
        <c:lblAlgn val="ctr"/>
        <c:lblOffset val="100"/>
        <c:noMultiLvlLbl val="0"/>
      </c:catAx>
      <c:valAx>
        <c:axId val="607288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7285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BF4-45E6-8908-9D4CCD120B27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BF4-45E6-8908-9D4CCD120B27}"/>
              </c:ext>
            </c:extLst>
          </c:dPt>
          <c:cat>
            <c:strRef>
              <c:f>Sheet1!$J$35:$J$43</c:f>
              <c:strCache>
                <c:ptCount val="9"/>
                <c:pt idx="0">
                  <c:v>WATER</c:v>
                </c:pt>
                <c:pt idx="1">
                  <c:v>OCT-APR</c:v>
                </c:pt>
                <c:pt idx="2">
                  <c:v>OCTOBER</c:v>
                </c:pt>
                <c:pt idx="3">
                  <c:v>DECEMBER</c:v>
                </c:pt>
                <c:pt idx="4">
                  <c:v>FEBRUARY</c:v>
                </c:pt>
                <c:pt idx="5">
                  <c:v>APRIL</c:v>
                </c:pt>
                <c:pt idx="6">
                  <c:v>FEB - APR</c:v>
                </c:pt>
                <c:pt idx="7">
                  <c:v>CONTROL</c:v>
                </c:pt>
                <c:pt idx="8">
                  <c:v>DEC-APR</c:v>
                </c:pt>
              </c:strCache>
            </c:strRef>
          </c:cat>
          <c:val>
            <c:numRef>
              <c:f>Sheet1!$K$35:$K$43</c:f>
              <c:numCache>
                <c:formatCode>0.00</c:formatCode>
                <c:ptCount val="9"/>
                <c:pt idx="0">
                  <c:v>105.74198809919353</c:v>
                </c:pt>
                <c:pt idx="1">
                  <c:v>104.52623312290453</c:v>
                </c:pt>
                <c:pt idx="2">
                  <c:v>104.44014860905548</c:v>
                </c:pt>
                <c:pt idx="3">
                  <c:v>104.22267194248951</c:v>
                </c:pt>
                <c:pt idx="4">
                  <c:v>104.14413870178511</c:v>
                </c:pt>
                <c:pt idx="5">
                  <c:v>102.56743286918176</c:v>
                </c:pt>
                <c:pt idx="6">
                  <c:v>100.67659407376084</c:v>
                </c:pt>
                <c:pt idx="7">
                  <c:v>100</c:v>
                </c:pt>
                <c:pt idx="8">
                  <c:v>98.441417222943798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F4-45E6-8908-9D4CCD120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1747807"/>
        <c:axId val="1471726591"/>
      </c:barChart>
      <c:catAx>
        <c:axId val="1471747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1726591"/>
        <c:crossesAt val="100"/>
        <c:auto val="1"/>
        <c:lblAlgn val="ctr"/>
        <c:lblOffset val="100"/>
        <c:noMultiLvlLbl val="0"/>
      </c:catAx>
      <c:valAx>
        <c:axId val="1471726591"/>
        <c:scaling>
          <c:orientation val="minMax"/>
          <c:max val="106"/>
          <c:min val="9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1747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9413-1361-4F4F-A9A9-5EDB378F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Hatting</dc:creator>
  <cp:keywords/>
  <dc:description/>
  <cp:lastModifiedBy>Justin Hatting</cp:lastModifiedBy>
  <cp:revision>48</cp:revision>
  <dcterms:created xsi:type="dcterms:W3CDTF">2017-11-14T12:51:00Z</dcterms:created>
  <dcterms:modified xsi:type="dcterms:W3CDTF">2017-11-15T08:02:00Z</dcterms:modified>
</cp:coreProperties>
</file>